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BEFAD" w14:textId="32A74C88" w:rsidR="00BC33F7" w:rsidRPr="00F54712" w:rsidRDefault="00844F29" w:rsidP="00274375">
      <w:pPr>
        <w:pStyle w:val="ZA"/>
        <w:framePr w:w="10563" w:h="782" w:hRule="exact" w:wrap="notBeside" w:hAnchor="page" w:x="661" w:y="646" w:anchorLock="1"/>
        <w:pBdr>
          <w:bottom w:val="none" w:sz="0" w:space="0" w:color="auto"/>
        </w:pBdr>
        <w:rPr>
          <w:noProof w:val="0"/>
        </w:rPr>
      </w:pPr>
      <w:bookmarkStart w:id="0" w:name="docnumber"/>
      <w:r w:rsidRPr="00F54712">
        <w:rPr>
          <w:noProof w:val="0"/>
          <w:sz w:val="64"/>
        </w:rPr>
        <w:t xml:space="preserve">ETSI </w:t>
      </w:r>
      <w:r w:rsidR="00BC33F7" w:rsidRPr="00F54712">
        <w:rPr>
          <w:noProof w:val="0"/>
          <w:sz w:val="64"/>
        </w:rPr>
        <w:t xml:space="preserve">TR </w:t>
      </w:r>
      <w:r w:rsidR="007B6130" w:rsidRPr="00F54712">
        <w:rPr>
          <w:noProof w:val="0"/>
          <w:sz w:val="64"/>
        </w:rPr>
        <w:t>1</w:t>
      </w:r>
      <w:r w:rsidR="00D176B7">
        <w:rPr>
          <w:noProof w:val="0"/>
          <w:sz w:val="64"/>
        </w:rPr>
        <w:t>04</w:t>
      </w:r>
      <w:r w:rsidR="007B6130" w:rsidRPr="00F54712">
        <w:rPr>
          <w:noProof w:val="0"/>
          <w:sz w:val="64"/>
        </w:rPr>
        <w:t xml:space="preserve"> </w:t>
      </w:r>
      <w:bookmarkEnd w:id="0"/>
      <w:r w:rsidR="00D176B7">
        <w:rPr>
          <w:noProof w:val="0"/>
          <w:sz w:val="64"/>
        </w:rPr>
        <w:t>073</w:t>
      </w:r>
      <w:r w:rsidR="00BC33F7" w:rsidRPr="00F54712">
        <w:rPr>
          <w:noProof w:val="0"/>
          <w:sz w:val="64"/>
        </w:rPr>
        <w:t xml:space="preserve"> </w:t>
      </w:r>
      <w:r w:rsidR="00BC33F7" w:rsidRPr="00F54712">
        <w:rPr>
          <w:noProof w:val="0"/>
        </w:rPr>
        <w:t>V</w:t>
      </w:r>
      <w:r w:rsidR="00D176B7">
        <w:rPr>
          <w:noProof w:val="0"/>
        </w:rPr>
        <w:t>0.0.</w:t>
      </w:r>
      <w:r w:rsidR="00A63E6C">
        <w:rPr>
          <w:noProof w:val="0"/>
        </w:rPr>
        <w:t>7</w:t>
      </w:r>
      <w:r w:rsidR="002616C6">
        <w:rPr>
          <w:noProof w:val="0"/>
        </w:rPr>
        <w:t xml:space="preserve"> </w:t>
      </w:r>
      <w:r w:rsidR="00BC33F7" w:rsidRPr="00F54712">
        <w:rPr>
          <w:noProof w:val="0"/>
          <w:sz w:val="32"/>
        </w:rPr>
        <w:t>(</w:t>
      </w:r>
      <w:bookmarkStart w:id="1" w:name="docdate"/>
      <w:r w:rsidR="00D176B7">
        <w:rPr>
          <w:noProof w:val="0"/>
          <w:sz w:val="32"/>
        </w:rPr>
        <w:t>202</w:t>
      </w:r>
      <w:r w:rsidR="00207469">
        <w:rPr>
          <w:noProof w:val="0"/>
          <w:sz w:val="32"/>
        </w:rPr>
        <w:t>5</w:t>
      </w:r>
      <w:r w:rsidR="00BC33F7" w:rsidRPr="00F54712">
        <w:rPr>
          <w:noProof w:val="0"/>
          <w:sz w:val="32"/>
        </w:rPr>
        <w:t>-</w:t>
      </w:r>
      <w:bookmarkEnd w:id="1"/>
      <w:r w:rsidR="00BB7F49">
        <w:rPr>
          <w:noProof w:val="0"/>
          <w:sz w:val="32"/>
        </w:rPr>
        <w:t>0</w:t>
      </w:r>
      <w:r w:rsidR="002013A4">
        <w:rPr>
          <w:noProof w:val="0"/>
          <w:sz w:val="32"/>
        </w:rPr>
        <w:t>5</w:t>
      </w:r>
      <w:r w:rsidR="00BC33F7" w:rsidRPr="00F54712">
        <w:rPr>
          <w:noProof w:val="0"/>
          <w:sz w:val="32"/>
          <w:szCs w:val="32"/>
        </w:rPr>
        <w:t>)</w:t>
      </w:r>
    </w:p>
    <w:p w14:paraId="53F03E7D" w14:textId="69663E66" w:rsidR="00BC33F7" w:rsidRPr="00F54712" w:rsidRDefault="00D176B7" w:rsidP="00D83CB3">
      <w:pPr>
        <w:pStyle w:val="ZT"/>
        <w:framePr w:w="10206" w:h="3701" w:hRule="exact" w:wrap="notBeside" w:hAnchor="page" w:x="880" w:y="7094"/>
        <w:spacing w:line="240" w:lineRule="auto"/>
      </w:pPr>
      <w:bookmarkStart w:id="2" w:name="doctitle"/>
      <w:r w:rsidRPr="00D176B7">
        <w:t>Intelligent Transport Systems (ITS); Radio Resource Management Study; Release 2</w:t>
      </w:r>
    </w:p>
    <w:bookmarkStart w:id="3" w:name="docdiskette"/>
    <w:bookmarkEnd w:id="2"/>
    <w:p w14:paraId="429A25F7" w14:textId="77777777" w:rsidR="00BC33F7" w:rsidRPr="00F54712" w:rsidRDefault="00D83CB3" w:rsidP="00D83CB3">
      <w:pPr>
        <w:pStyle w:val="ZD"/>
        <w:framePr w:wrap="notBeside"/>
      </w:pPr>
      <w:r w:rsidRPr="00A154F0">
        <w:fldChar w:fldCharType="begin"/>
      </w:r>
      <w:r w:rsidRPr="00A154F0">
        <w:instrText>symbol 60 \f "Wingdings" \s 16</w:instrText>
      </w:r>
      <w:r w:rsidRPr="00A154F0">
        <w:fldChar w:fldCharType="separate"/>
      </w:r>
      <w:r w:rsidRPr="00A154F0">
        <w:rPr>
          <w:rFonts w:ascii="Wingdings" w:hAnsi="Wingdings"/>
        </w:rPr>
        <w:t>&lt;</w:t>
      </w:r>
      <w:r w:rsidRPr="00A154F0">
        <w:fldChar w:fldCharType="end"/>
      </w:r>
      <w:bookmarkEnd w:id="3"/>
    </w:p>
    <w:p w14:paraId="2EAF456E" w14:textId="77777777" w:rsidR="00BC33F7" w:rsidRPr="00F54712" w:rsidRDefault="00BC33F7" w:rsidP="00BC33F7"/>
    <w:p w14:paraId="1507587E" w14:textId="77777777" w:rsidR="00BC33F7" w:rsidRPr="00F54712" w:rsidRDefault="00BC33F7" w:rsidP="00BC33F7"/>
    <w:p w14:paraId="55DA90D8" w14:textId="77777777" w:rsidR="00BC33F7" w:rsidRPr="00F54712" w:rsidRDefault="00BC33F7" w:rsidP="00BC33F7"/>
    <w:p w14:paraId="3CF39BB7" w14:textId="77777777" w:rsidR="00BC33F7" w:rsidRPr="00F54712" w:rsidRDefault="00BC33F7" w:rsidP="00BC33F7"/>
    <w:p w14:paraId="68A98EE0" w14:textId="77777777" w:rsidR="00BC33F7" w:rsidRPr="00F54712" w:rsidRDefault="00BC33F7" w:rsidP="00BC33F7">
      <w:pPr>
        <w:pStyle w:val="ZB"/>
        <w:framePr w:wrap="notBeside" w:hAnchor="page" w:x="901" w:y="1421"/>
        <w:rPr>
          <w:noProof w:val="0"/>
        </w:rPr>
      </w:pPr>
    </w:p>
    <w:p w14:paraId="4BDB0795" w14:textId="77777777" w:rsidR="00BC33F7" w:rsidRPr="00F54712" w:rsidRDefault="00BC33F7" w:rsidP="00BC33F7">
      <w:pPr>
        <w:pStyle w:val="FP"/>
        <w:framePr w:h="1625" w:hRule="exact" w:wrap="notBeside" w:vAnchor="page" w:hAnchor="page" w:x="871" w:y="11581"/>
        <w:spacing w:after="240"/>
        <w:jc w:val="center"/>
        <w:rPr>
          <w:rFonts w:ascii="Arial" w:hAnsi="Arial" w:cs="Arial"/>
          <w:sz w:val="18"/>
          <w:szCs w:val="18"/>
        </w:rPr>
      </w:pPr>
      <w:bookmarkStart w:id="4" w:name="GSBox"/>
    </w:p>
    <w:p w14:paraId="2CBEC1A9" w14:textId="77777777" w:rsidR="00BC33F7" w:rsidRPr="00BF4918" w:rsidRDefault="00BC33F7" w:rsidP="00BC33F7">
      <w:pPr>
        <w:pStyle w:val="ZB"/>
        <w:framePr w:w="6341" w:h="450" w:hRule="exact" w:wrap="notBeside" w:hAnchor="page" w:x="811" w:y="5401"/>
        <w:jc w:val="left"/>
        <w:rPr>
          <w:rFonts w:ascii="Century Gothic" w:hAnsi="Century Gothic"/>
          <w:b/>
          <w:i w:val="0"/>
          <w:caps/>
          <w:noProof w:val="0"/>
          <w:color w:val="FFFFFF"/>
          <w:sz w:val="32"/>
          <w:szCs w:val="32"/>
        </w:rPr>
      </w:pPr>
      <w:bookmarkStart w:id="5" w:name="doctypelong"/>
      <w:bookmarkEnd w:id="4"/>
      <w:r w:rsidRPr="00BF4918">
        <w:rPr>
          <w:rFonts w:ascii="Century Gothic" w:hAnsi="Century Gothic"/>
          <w:b/>
          <w:i w:val="0"/>
          <w:caps/>
          <w:noProof w:val="0"/>
          <w:color w:val="FFFFFF"/>
          <w:sz w:val="32"/>
          <w:szCs w:val="32"/>
        </w:rPr>
        <w:t>TECHNICAL REPORT</w:t>
      </w:r>
    </w:p>
    <w:bookmarkEnd w:id="5"/>
    <w:p w14:paraId="2D1844C4" w14:textId="77777777" w:rsidR="00BC33F7" w:rsidRPr="00F54712" w:rsidRDefault="00BC33F7" w:rsidP="00BC33F7">
      <w:pPr>
        <w:rPr>
          <w:rFonts w:ascii="Arial" w:hAnsi="Arial" w:cs="Arial"/>
          <w:sz w:val="18"/>
          <w:szCs w:val="18"/>
        </w:rPr>
        <w:sectPr w:rsidR="00BC33F7" w:rsidRPr="00F54712" w:rsidSect="00596098">
          <w:headerReference w:type="default" r:id="rId8"/>
          <w:footerReference w:type="default" r:id="rId9"/>
          <w:footnotePr>
            <w:numRestart w:val="eachSect"/>
          </w:footnotePr>
          <w:pgSz w:w="11907" w:h="16840" w:code="9"/>
          <w:pgMar w:top="2268" w:right="851" w:bottom="10773" w:left="851" w:header="0" w:footer="0" w:gutter="0"/>
          <w:cols w:space="720"/>
          <w:docGrid w:linePitch="272"/>
        </w:sectPr>
      </w:pPr>
    </w:p>
    <w:p w14:paraId="3FAC39E4" w14:textId="77777777" w:rsidR="0065180D" w:rsidRPr="00F54712" w:rsidRDefault="0065180D" w:rsidP="0065180D">
      <w:pPr>
        <w:pStyle w:val="FP"/>
        <w:framePr w:w="9758" w:h="1349" w:hRule="exact" w:wrap="notBeside" w:vAnchor="page" w:hAnchor="page" w:x="1169" w:y="1685"/>
        <w:pBdr>
          <w:bottom w:val="single" w:sz="6" w:space="1" w:color="auto"/>
        </w:pBdr>
        <w:ind w:left="2835" w:right="2835"/>
        <w:jc w:val="center"/>
      </w:pPr>
      <w:bookmarkStart w:id="6" w:name="page2"/>
      <w:r w:rsidRPr="00F54712">
        <w:lastRenderedPageBreak/>
        <w:t>Reference</w:t>
      </w:r>
    </w:p>
    <w:p w14:paraId="25A6E452" w14:textId="77777777" w:rsidR="00B94070" w:rsidRDefault="00E12329" w:rsidP="0065180D">
      <w:pPr>
        <w:pStyle w:val="FP"/>
        <w:framePr w:w="9758" w:h="1349" w:hRule="exact" w:wrap="notBeside" w:vAnchor="page" w:hAnchor="page" w:x="1169" w:y="1685"/>
        <w:pBdr>
          <w:bottom w:val="single" w:sz="6" w:space="1" w:color="auto"/>
        </w:pBdr>
        <w:spacing w:before="240"/>
        <w:ind w:left="2835" w:right="2835"/>
        <w:jc w:val="center"/>
        <w:rPr>
          <w:rFonts w:ascii="Arial" w:hAnsi="Arial"/>
          <w:sz w:val="18"/>
        </w:rPr>
      </w:pPr>
      <w:bookmarkStart w:id="7" w:name="docworkitem"/>
      <w:r w:rsidRPr="00E12329">
        <w:rPr>
          <w:rFonts w:ascii="Arial" w:hAnsi="Arial"/>
          <w:sz w:val="18"/>
        </w:rPr>
        <w:t>DTR/ITS-246</w:t>
      </w:r>
      <w:bookmarkEnd w:id="7"/>
    </w:p>
    <w:p w14:paraId="1F09FEDA" w14:textId="3C3057D9" w:rsidR="0065180D" w:rsidRPr="00F62AE0" w:rsidRDefault="0065180D" w:rsidP="0065180D">
      <w:pPr>
        <w:pStyle w:val="FP"/>
        <w:framePr w:w="9758" w:h="1349" w:hRule="exact" w:wrap="notBeside" w:vAnchor="page" w:hAnchor="page" w:x="1169" w:y="1685"/>
        <w:pBdr>
          <w:bottom w:val="single" w:sz="6" w:space="1" w:color="auto"/>
        </w:pBdr>
        <w:spacing w:before="240"/>
        <w:ind w:left="2835" w:right="2835"/>
        <w:jc w:val="center"/>
      </w:pPr>
      <w:r w:rsidRPr="00F62AE0">
        <w:t>Keywords</w:t>
      </w:r>
    </w:p>
    <w:p w14:paraId="5D82A379" w14:textId="3029C7C1" w:rsidR="0065180D" w:rsidRPr="00F62AE0" w:rsidRDefault="00E12329" w:rsidP="0065180D">
      <w:pPr>
        <w:pStyle w:val="FP"/>
        <w:framePr w:w="9758" w:h="1349" w:hRule="exact" w:wrap="notBeside" w:vAnchor="page" w:hAnchor="page" w:x="1169" w:y="1685"/>
        <w:ind w:left="2835" w:right="2835"/>
        <w:jc w:val="center"/>
        <w:rPr>
          <w:rFonts w:ascii="Arial" w:hAnsi="Arial"/>
          <w:sz w:val="18"/>
        </w:rPr>
      </w:pPr>
      <w:r w:rsidRPr="00F62AE0">
        <w:rPr>
          <w:rFonts w:ascii="Arial" w:hAnsi="Arial"/>
          <w:sz w:val="18"/>
        </w:rPr>
        <w:t>Radio Resource Management, Congestion control, ITS</w:t>
      </w:r>
    </w:p>
    <w:p w14:paraId="7EFBAA61" w14:textId="77777777" w:rsidR="00BC33F7" w:rsidRPr="00F62AE0" w:rsidRDefault="00BC33F7" w:rsidP="00BC33F7"/>
    <w:p w14:paraId="17C43CD5" w14:textId="77777777" w:rsidR="00BC33F7" w:rsidRPr="000B4170" w:rsidRDefault="00BC33F7" w:rsidP="0065180D">
      <w:pPr>
        <w:pStyle w:val="FP"/>
        <w:framePr w:w="9758" w:wrap="notBeside" w:vAnchor="page" w:hAnchor="page" w:x="1169" w:y="3908"/>
        <w:spacing w:after="240"/>
        <w:ind w:left="2835" w:right="2835"/>
        <w:jc w:val="center"/>
        <w:rPr>
          <w:rFonts w:ascii="Arial" w:hAnsi="Arial"/>
          <w:b/>
          <w:i/>
          <w:lang w:val="fr-FR"/>
        </w:rPr>
      </w:pPr>
      <w:bookmarkStart w:id="8" w:name="ETSIinfo"/>
      <w:r w:rsidRPr="000B4170">
        <w:rPr>
          <w:rFonts w:ascii="Arial" w:hAnsi="Arial"/>
          <w:b/>
          <w:i/>
          <w:lang w:val="fr-FR"/>
        </w:rPr>
        <w:t>ETSI</w:t>
      </w:r>
    </w:p>
    <w:p w14:paraId="5E5E78F1" w14:textId="77777777" w:rsidR="00BC33F7" w:rsidRPr="00F54712" w:rsidRDefault="00BC33F7" w:rsidP="0065180D">
      <w:pPr>
        <w:pStyle w:val="FP"/>
        <w:framePr w:w="9758" w:wrap="notBeside" w:vAnchor="page" w:hAnchor="page" w:x="1169" w:y="3908"/>
        <w:pBdr>
          <w:bottom w:val="single" w:sz="6" w:space="1" w:color="auto"/>
        </w:pBdr>
        <w:ind w:left="2835" w:right="2835"/>
        <w:jc w:val="center"/>
        <w:rPr>
          <w:rFonts w:ascii="Arial" w:hAnsi="Arial"/>
          <w:sz w:val="18"/>
          <w:lang w:val="fr-FR"/>
        </w:rPr>
      </w:pPr>
      <w:r w:rsidRPr="00F54712">
        <w:rPr>
          <w:rFonts w:ascii="Arial" w:hAnsi="Arial"/>
          <w:sz w:val="18"/>
          <w:lang w:val="fr-FR"/>
        </w:rPr>
        <w:t>650 Route des Lucioles</w:t>
      </w:r>
    </w:p>
    <w:p w14:paraId="69528CEA" w14:textId="77777777" w:rsidR="00BC33F7" w:rsidRPr="00B1354A" w:rsidRDefault="00BC33F7" w:rsidP="0065180D">
      <w:pPr>
        <w:pStyle w:val="FP"/>
        <w:framePr w:w="9758" w:wrap="notBeside" w:vAnchor="page" w:hAnchor="page" w:x="1169" w:y="3908"/>
        <w:pBdr>
          <w:bottom w:val="single" w:sz="6" w:space="1" w:color="auto"/>
        </w:pBdr>
        <w:ind w:left="2835" w:right="2835"/>
        <w:jc w:val="center"/>
        <w:rPr>
          <w:lang w:val="fr-FR"/>
        </w:rPr>
      </w:pPr>
      <w:r w:rsidRPr="00B1354A">
        <w:rPr>
          <w:rFonts w:ascii="Arial" w:hAnsi="Arial"/>
          <w:sz w:val="18"/>
          <w:lang w:val="fr-FR"/>
        </w:rPr>
        <w:t>F-06921 Sophia Antipolis Cedex - FRANCE</w:t>
      </w:r>
    </w:p>
    <w:p w14:paraId="1EF4E545" w14:textId="77777777" w:rsidR="00BC33F7" w:rsidRPr="00B1354A" w:rsidRDefault="00BC33F7" w:rsidP="0065180D">
      <w:pPr>
        <w:pStyle w:val="FP"/>
        <w:framePr w:w="9758" w:wrap="notBeside" w:vAnchor="page" w:hAnchor="page" w:x="1169" w:y="3908"/>
        <w:ind w:left="2835" w:right="2835"/>
        <w:jc w:val="center"/>
        <w:rPr>
          <w:rFonts w:ascii="Arial" w:hAnsi="Arial"/>
          <w:sz w:val="18"/>
          <w:lang w:val="fr-FR"/>
        </w:rPr>
      </w:pPr>
    </w:p>
    <w:p w14:paraId="340C5000" w14:textId="77777777" w:rsidR="00BC33F7" w:rsidRPr="00B1354A" w:rsidRDefault="00BC33F7" w:rsidP="0065180D">
      <w:pPr>
        <w:pStyle w:val="FP"/>
        <w:framePr w:w="9758" w:wrap="notBeside" w:vAnchor="page" w:hAnchor="page" w:x="1169" w:y="3908"/>
        <w:spacing w:after="20"/>
        <w:ind w:left="2835" w:right="2835"/>
        <w:jc w:val="center"/>
        <w:rPr>
          <w:rFonts w:ascii="Arial" w:hAnsi="Arial"/>
          <w:sz w:val="18"/>
          <w:lang w:val="fr-FR"/>
        </w:rPr>
      </w:pPr>
      <w:r w:rsidRPr="00B1354A">
        <w:rPr>
          <w:rFonts w:ascii="Arial" w:hAnsi="Arial"/>
          <w:sz w:val="18"/>
          <w:lang w:val="fr-FR"/>
        </w:rPr>
        <w:t>Tel.: +33 4 92 94 42 00   Fax: +33 4 93 65 47 16</w:t>
      </w:r>
    </w:p>
    <w:p w14:paraId="5765D1DC" w14:textId="77777777" w:rsidR="00BC33F7" w:rsidRPr="00B1354A" w:rsidRDefault="00BC33F7" w:rsidP="0065180D">
      <w:pPr>
        <w:pStyle w:val="FP"/>
        <w:framePr w:w="9758" w:wrap="notBeside" w:vAnchor="page" w:hAnchor="page" w:x="1169" w:y="3908"/>
        <w:ind w:left="2835" w:right="2835"/>
        <w:jc w:val="center"/>
        <w:rPr>
          <w:rFonts w:ascii="Arial" w:hAnsi="Arial"/>
          <w:sz w:val="15"/>
          <w:lang w:val="fr-FR"/>
        </w:rPr>
      </w:pPr>
    </w:p>
    <w:p w14:paraId="7830D829" w14:textId="6673292E" w:rsidR="00BC33F7" w:rsidRPr="00F54712" w:rsidRDefault="00BC33F7" w:rsidP="0065180D">
      <w:pPr>
        <w:pStyle w:val="FP"/>
        <w:framePr w:w="9758" w:wrap="notBeside" w:vAnchor="page" w:hAnchor="page" w:x="1169" w:y="3908"/>
        <w:ind w:left="2835" w:right="2835"/>
        <w:jc w:val="center"/>
        <w:rPr>
          <w:rFonts w:ascii="Arial" w:hAnsi="Arial"/>
          <w:sz w:val="15"/>
          <w:lang w:val="fr-FR"/>
        </w:rPr>
      </w:pPr>
      <w:r w:rsidRPr="00F54712">
        <w:rPr>
          <w:rFonts w:ascii="Arial" w:hAnsi="Arial"/>
          <w:sz w:val="15"/>
          <w:lang w:val="fr-FR"/>
        </w:rPr>
        <w:t xml:space="preserve">Siret N° 348 623 562 00017 - </w:t>
      </w:r>
      <w:bookmarkStart w:id="9" w:name="_Hlk67652697"/>
      <w:r w:rsidR="00C35B43">
        <w:rPr>
          <w:rFonts w:ascii="Arial" w:hAnsi="Arial"/>
          <w:sz w:val="15"/>
          <w:lang w:val="fr-FR"/>
        </w:rPr>
        <w:t>APE 7112B</w:t>
      </w:r>
      <w:bookmarkEnd w:id="9"/>
    </w:p>
    <w:p w14:paraId="04E184AD" w14:textId="77777777" w:rsidR="00BC33F7" w:rsidRPr="00F54712" w:rsidRDefault="00BC33F7" w:rsidP="0065180D">
      <w:pPr>
        <w:pStyle w:val="FP"/>
        <w:framePr w:w="9758" w:wrap="notBeside" w:vAnchor="page" w:hAnchor="page" w:x="1169" w:y="3908"/>
        <w:ind w:left="2835" w:right="2835"/>
        <w:jc w:val="center"/>
        <w:rPr>
          <w:rFonts w:ascii="Arial" w:hAnsi="Arial"/>
          <w:sz w:val="15"/>
          <w:lang w:val="fr-FR"/>
        </w:rPr>
      </w:pPr>
      <w:r w:rsidRPr="00F54712">
        <w:rPr>
          <w:rFonts w:ascii="Arial" w:hAnsi="Arial"/>
          <w:sz w:val="15"/>
          <w:lang w:val="fr-FR"/>
        </w:rPr>
        <w:t>Association à but non lucratif enregistrée à la</w:t>
      </w:r>
    </w:p>
    <w:p w14:paraId="5AAB83FD" w14:textId="4514299D" w:rsidR="00BC33F7" w:rsidRPr="00F54712" w:rsidRDefault="00F54712" w:rsidP="0065180D">
      <w:pPr>
        <w:pStyle w:val="FP"/>
        <w:framePr w:w="9758" w:wrap="notBeside" w:vAnchor="page" w:hAnchor="page" w:x="1169" w:y="3908"/>
        <w:ind w:left="2835" w:right="2835"/>
        <w:jc w:val="center"/>
        <w:rPr>
          <w:rFonts w:ascii="Arial" w:hAnsi="Arial"/>
          <w:sz w:val="15"/>
          <w:lang w:val="fr-FR"/>
        </w:rPr>
      </w:pPr>
      <w:r w:rsidRPr="00F54712">
        <w:rPr>
          <w:rFonts w:ascii="Arial" w:hAnsi="Arial"/>
          <w:sz w:val="15"/>
          <w:lang w:val="fr-FR"/>
        </w:rPr>
        <w:t>Sous-préfecture</w:t>
      </w:r>
      <w:r w:rsidR="00BC33F7" w:rsidRPr="00F54712">
        <w:rPr>
          <w:rFonts w:ascii="Arial" w:hAnsi="Arial"/>
          <w:sz w:val="15"/>
          <w:lang w:val="fr-FR"/>
        </w:rPr>
        <w:t xml:space="preserve"> de Grasse (06) N° </w:t>
      </w:r>
      <w:r w:rsidR="00C35B43" w:rsidRPr="00C35B43">
        <w:rPr>
          <w:rFonts w:ascii="Arial" w:hAnsi="Arial"/>
          <w:sz w:val="15"/>
          <w:lang w:val="fr-FR"/>
        </w:rPr>
        <w:t>w061004871</w:t>
      </w:r>
    </w:p>
    <w:p w14:paraId="00F36205" w14:textId="77777777" w:rsidR="00BC33F7" w:rsidRPr="000B4170" w:rsidRDefault="00BC33F7" w:rsidP="0065180D">
      <w:pPr>
        <w:pStyle w:val="FP"/>
        <w:framePr w:w="9758" w:wrap="notBeside" w:vAnchor="page" w:hAnchor="page" w:x="1169" w:y="3908"/>
        <w:ind w:left="2835" w:right="2835"/>
        <w:jc w:val="center"/>
        <w:rPr>
          <w:rFonts w:ascii="Arial" w:hAnsi="Arial"/>
          <w:sz w:val="18"/>
          <w:lang w:val="fr-FR"/>
        </w:rPr>
      </w:pPr>
    </w:p>
    <w:bookmarkEnd w:id="6"/>
    <w:bookmarkEnd w:id="8"/>
    <w:p w14:paraId="1F4745E8" w14:textId="77777777" w:rsidR="0065180D" w:rsidRPr="00307F3A" w:rsidRDefault="0065180D" w:rsidP="005E6B71">
      <w:pPr>
        <w:framePr w:w="9758" w:h="9625" w:hRule="exact" w:wrap="notBeside" w:vAnchor="page" w:hAnchor="page" w:x="1169" w:y="6210"/>
        <w:pBdr>
          <w:bottom w:val="single" w:sz="6" w:space="1" w:color="auto"/>
        </w:pBdr>
        <w:spacing w:after="120"/>
        <w:ind w:left="2835" w:right="2835"/>
        <w:jc w:val="center"/>
        <w:rPr>
          <w:rFonts w:ascii="Arial" w:hAnsi="Arial"/>
          <w:b/>
          <w:i/>
        </w:rPr>
      </w:pPr>
      <w:r w:rsidRPr="00307F3A">
        <w:rPr>
          <w:rFonts w:ascii="Arial" w:hAnsi="Arial"/>
          <w:b/>
          <w:i/>
        </w:rPr>
        <w:t>Important notice</w:t>
      </w:r>
    </w:p>
    <w:p w14:paraId="0C51A3BC" w14:textId="5EA30468" w:rsidR="0065180D" w:rsidRPr="00307F3A" w:rsidRDefault="0065180D" w:rsidP="005E6B71">
      <w:pPr>
        <w:framePr w:w="9758" w:h="9625" w:hRule="exact" w:wrap="notBeside" w:vAnchor="page" w:hAnchor="page" w:x="1169" w:y="6210"/>
        <w:spacing w:after="120"/>
        <w:jc w:val="center"/>
        <w:rPr>
          <w:rFonts w:ascii="Arial" w:hAnsi="Arial" w:cs="Arial"/>
          <w:sz w:val="18"/>
        </w:rPr>
      </w:pPr>
      <w:r w:rsidRPr="00307F3A">
        <w:rPr>
          <w:rFonts w:ascii="Arial" w:hAnsi="Arial" w:cs="Arial"/>
          <w:sz w:val="18"/>
        </w:rPr>
        <w:t>The present document can be downloaded from:</w:t>
      </w:r>
      <w:r w:rsidRPr="00307F3A">
        <w:rPr>
          <w:rFonts w:ascii="Arial" w:hAnsi="Arial" w:cs="Arial"/>
          <w:sz w:val="18"/>
        </w:rPr>
        <w:br/>
      </w:r>
      <w:hyperlink r:id="rId10" w:history="1">
        <w:r w:rsidR="004464A7">
          <w:rPr>
            <w:rFonts w:ascii="Arial" w:hAnsi="Arial"/>
            <w:color w:val="0000FF"/>
            <w:sz w:val="18"/>
            <w:u w:val="single"/>
          </w:rPr>
          <w:t>https://www.etsi.org/standards-search</w:t>
        </w:r>
      </w:hyperlink>
    </w:p>
    <w:p w14:paraId="33031D98" w14:textId="77777777" w:rsidR="0065180D" w:rsidRPr="00307F3A" w:rsidRDefault="0065180D" w:rsidP="005E6B71">
      <w:pPr>
        <w:framePr w:w="9758" w:h="9625" w:hRule="exact" w:wrap="notBeside" w:vAnchor="page" w:hAnchor="page" w:x="1169" w:y="6210"/>
        <w:spacing w:after="120"/>
        <w:jc w:val="center"/>
        <w:rPr>
          <w:rFonts w:ascii="Arial" w:hAnsi="Arial" w:cs="Arial"/>
          <w:sz w:val="18"/>
        </w:rPr>
      </w:pPr>
      <w:r w:rsidRPr="00307F3A">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at </w:t>
      </w:r>
      <w:hyperlink r:id="rId11" w:history="1">
        <w:r w:rsidRPr="00307F3A">
          <w:rPr>
            <w:rFonts w:ascii="Arial" w:hAnsi="Arial" w:cs="Arial"/>
            <w:color w:val="0000FF"/>
            <w:sz w:val="18"/>
            <w:u w:val="single"/>
          </w:rPr>
          <w:t>www.etsi.org/deliver</w:t>
        </w:r>
      </w:hyperlink>
      <w:r w:rsidRPr="00307F3A">
        <w:rPr>
          <w:rFonts w:ascii="Arial" w:hAnsi="Arial" w:cs="Arial"/>
          <w:sz w:val="18"/>
        </w:rPr>
        <w:t>.</w:t>
      </w:r>
    </w:p>
    <w:p w14:paraId="19930FD6" w14:textId="77777777" w:rsidR="0065180D" w:rsidRPr="00307F3A" w:rsidRDefault="0065180D" w:rsidP="005E6B71">
      <w:pPr>
        <w:framePr w:w="9758" w:h="9625" w:hRule="exact" w:wrap="notBeside" w:vAnchor="page" w:hAnchor="page" w:x="1169" w:y="6210"/>
        <w:spacing w:after="120"/>
        <w:jc w:val="center"/>
        <w:rPr>
          <w:rFonts w:ascii="Arial" w:hAnsi="Arial" w:cs="Arial"/>
          <w:sz w:val="18"/>
        </w:rPr>
      </w:pPr>
      <w:r w:rsidRPr="00307F3A">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2" w:history="1">
        <w:r w:rsidRPr="00307F3A">
          <w:rPr>
            <w:rFonts w:ascii="Arial" w:hAnsi="Arial" w:cs="Arial"/>
            <w:color w:val="0000FF"/>
            <w:sz w:val="18"/>
            <w:u w:val="single"/>
          </w:rPr>
          <w:t>https://portal.etsi.org/TB/ETSIDeliverableStatus.aspx</w:t>
        </w:r>
      </w:hyperlink>
    </w:p>
    <w:p w14:paraId="39D34063" w14:textId="2911F802" w:rsidR="0065180D" w:rsidRDefault="0065180D" w:rsidP="005E6B71">
      <w:pPr>
        <w:framePr w:w="9758" w:h="9625" w:hRule="exact" w:wrap="notBeside" w:vAnchor="page" w:hAnchor="page" w:x="1169" w:y="6210"/>
        <w:spacing w:after="120"/>
        <w:jc w:val="center"/>
        <w:rPr>
          <w:rFonts w:ascii="Arial" w:hAnsi="Arial" w:cs="Arial"/>
          <w:color w:val="0000FF"/>
          <w:sz w:val="18"/>
          <w:u w:val="single"/>
        </w:rPr>
      </w:pPr>
      <w:r w:rsidRPr="00307F3A">
        <w:rPr>
          <w:rFonts w:ascii="Arial" w:hAnsi="Arial" w:cs="Arial"/>
          <w:sz w:val="18"/>
        </w:rPr>
        <w:t>If you find errors in the present document, please send your comment to one of the following services:</w:t>
      </w:r>
      <w:r w:rsidRPr="00307F3A">
        <w:rPr>
          <w:rFonts w:ascii="Arial" w:hAnsi="Arial" w:cs="Arial"/>
          <w:sz w:val="18"/>
        </w:rPr>
        <w:br/>
      </w:r>
      <w:hyperlink r:id="rId13" w:history="1">
        <w:r w:rsidRPr="00307F3A">
          <w:rPr>
            <w:rFonts w:ascii="Arial" w:hAnsi="Arial" w:cs="Arial"/>
            <w:color w:val="0000FF"/>
            <w:sz w:val="18"/>
            <w:u w:val="single"/>
          </w:rPr>
          <w:t>https://portal.etsi.org/People/CommiteeSupportStaff.aspx</w:t>
        </w:r>
      </w:hyperlink>
    </w:p>
    <w:p w14:paraId="2AD5E460" w14:textId="77777777" w:rsidR="000F1956" w:rsidRDefault="000F1956" w:rsidP="005E6B71">
      <w:pPr>
        <w:framePr w:w="9758" w:h="9625" w:hRule="exact" w:wrap="notBeside" w:vAnchor="page" w:hAnchor="page" w:x="1169" w:y="6210"/>
        <w:overflowPunct/>
        <w:autoSpaceDE/>
        <w:adjustRightInd/>
        <w:spacing w:after="0"/>
        <w:jc w:val="center"/>
        <w:rPr>
          <w:rFonts w:ascii="Arial" w:hAnsi="Arial" w:cs="Arial"/>
          <w:sz w:val="18"/>
        </w:rPr>
      </w:pPr>
      <w:r>
        <w:rPr>
          <w:rFonts w:ascii="Arial" w:hAnsi="Arial" w:cs="Arial"/>
          <w:sz w:val="18"/>
        </w:rPr>
        <w:t xml:space="preserve">If you find a security vulnerability in the present document, please report it through our </w:t>
      </w:r>
    </w:p>
    <w:p w14:paraId="6AA711D6" w14:textId="77777777" w:rsidR="000F1956" w:rsidRDefault="000F1956" w:rsidP="005E6B71">
      <w:pPr>
        <w:framePr w:w="9758" w:h="9625" w:hRule="exact" w:wrap="notBeside" w:vAnchor="page" w:hAnchor="page" w:x="1169" w:y="6210"/>
        <w:overflowPunct/>
        <w:autoSpaceDE/>
        <w:adjustRightInd/>
        <w:spacing w:after="0"/>
        <w:jc w:val="center"/>
        <w:rPr>
          <w:rFonts w:ascii="Arial" w:hAnsi="Arial" w:cs="Arial"/>
          <w:sz w:val="18"/>
        </w:rPr>
      </w:pPr>
      <w:r>
        <w:rPr>
          <w:rFonts w:ascii="Arial" w:hAnsi="Arial" w:cs="Arial"/>
          <w:sz w:val="18"/>
        </w:rPr>
        <w:t>Coordinated Vulnerability Disclosure Program:</w:t>
      </w:r>
    </w:p>
    <w:p w14:paraId="31642A30" w14:textId="26642C37" w:rsidR="000F1956" w:rsidRPr="00307F3A" w:rsidRDefault="000F1956" w:rsidP="005E6B71">
      <w:pPr>
        <w:framePr w:w="9758" w:h="9625" w:hRule="exact" w:wrap="notBeside" w:vAnchor="page" w:hAnchor="page" w:x="1169" w:y="6210"/>
        <w:spacing w:after="240"/>
        <w:jc w:val="center"/>
        <w:rPr>
          <w:rFonts w:ascii="Arial" w:hAnsi="Arial" w:cs="Arial"/>
          <w:color w:val="0000FF"/>
          <w:sz w:val="18"/>
          <w:u w:val="single"/>
        </w:rPr>
      </w:pPr>
      <w:hyperlink r:id="rId14" w:history="1">
        <w:r>
          <w:rPr>
            <w:rStyle w:val="Hyperlink"/>
            <w:rFonts w:ascii="Arial" w:hAnsi="Arial" w:cs="Arial"/>
            <w:sz w:val="18"/>
          </w:rPr>
          <w:t>https://www.etsi.org/standards/coordinated-vulnerability-disclosure</w:t>
        </w:r>
      </w:hyperlink>
    </w:p>
    <w:p w14:paraId="7859DFEA" w14:textId="77777777" w:rsidR="0065180D" w:rsidRPr="00307F3A" w:rsidRDefault="0065180D" w:rsidP="005E6B71">
      <w:pPr>
        <w:framePr w:w="9758" w:h="9625" w:hRule="exact" w:wrap="notBeside" w:vAnchor="page" w:hAnchor="page" w:x="1169" w:y="6210"/>
        <w:pBdr>
          <w:bottom w:val="single" w:sz="6" w:space="1" w:color="auto"/>
        </w:pBdr>
        <w:spacing w:after="120"/>
        <w:ind w:left="2835" w:right="2552"/>
        <w:jc w:val="center"/>
        <w:rPr>
          <w:rFonts w:ascii="Arial" w:hAnsi="Arial"/>
          <w:b/>
          <w:i/>
        </w:rPr>
      </w:pPr>
      <w:r w:rsidRPr="00307F3A">
        <w:rPr>
          <w:rFonts w:ascii="Arial" w:hAnsi="Arial"/>
          <w:b/>
          <w:i/>
        </w:rPr>
        <w:t>Notice of disclaimer &amp; limitation of liability</w:t>
      </w:r>
    </w:p>
    <w:p w14:paraId="2AF01EED" w14:textId="2EB64F52" w:rsidR="0065180D" w:rsidRPr="00307F3A" w:rsidRDefault="0065180D" w:rsidP="005E6B71">
      <w:pPr>
        <w:framePr w:w="9758" w:h="9625" w:hRule="exact" w:wrap="notBeside" w:vAnchor="page" w:hAnchor="page" w:x="1169" w:y="6210"/>
        <w:spacing w:after="0"/>
        <w:jc w:val="center"/>
        <w:rPr>
          <w:rFonts w:ascii="Arial" w:hAnsi="Arial" w:cs="Arial"/>
          <w:sz w:val="18"/>
        </w:rPr>
      </w:pPr>
      <w:r w:rsidRPr="00307F3A">
        <w:rPr>
          <w:rFonts w:ascii="Arial" w:hAnsi="Arial" w:cs="Arial"/>
          <w:sz w:val="18"/>
        </w:rPr>
        <w:t>The information provided in the present deliverable is directed solely to professionals who have the appropriate degree of experience to understand and interpret its content in ac</w:t>
      </w:r>
      <w:r w:rsidR="0062415A">
        <w:rPr>
          <w:rFonts w:ascii="Arial" w:hAnsi="Arial" w:cs="Arial"/>
          <w:sz w:val="18"/>
        </w:rPr>
        <w:t>CLR</w:t>
      </w:r>
      <w:r w:rsidRPr="00307F3A">
        <w:rPr>
          <w:rFonts w:ascii="Arial" w:hAnsi="Arial" w:cs="Arial"/>
          <w:sz w:val="18"/>
        </w:rPr>
        <w:t xml:space="preserve">dance with generally accepted engineering or </w:t>
      </w:r>
    </w:p>
    <w:p w14:paraId="58DF3AF2"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r w:rsidRPr="00307F3A">
        <w:rPr>
          <w:rFonts w:ascii="Arial" w:hAnsi="Arial" w:cs="Arial"/>
          <w:sz w:val="18"/>
        </w:rPr>
        <w:t xml:space="preserve">other professional standard and applicable regulations. </w:t>
      </w:r>
    </w:p>
    <w:p w14:paraId="06E52F62"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r w:rsidRPr="00307F3A">
        <w:rPr>
          <w:rFonts w:ascii="Arial" w:hAnsi="Arial" w:cs="Arial"/>
          <w:sz w:val="18"/>
        </w:rPr>
        <w:t>No recommendation as to products and services or vendors is made or should be implied.</w:t>
      </w:r>
    </w:p>
    <w:p w14:paraId="2157716F"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bookmarkStart w:id="10" w:name="EN_Delete_Disclaimer"/>
      <w:r w:rsidRPr="00307F3A">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10"/>
    <w:p w14:paraId="32A776F5"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r w:rsidRPr="00307F3A">
        <w:rPr>
          <w:rFonts w:ascii="Arial" w:hAnsi="Arial" w:cs="Arial"/>
          <w:sz w:val="18"/>
        </w:rPr>
        <w:t>In no event shall ETSI be held liable for loss of profits or any other incidental or consequential damages.</w:t>
      </w:r>
    </w:p>
    <w:p w14:paraId="5D8B615B"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p>
    <w:p w14:paraId="4722BD6B" w14:textId="77777777" w:rsidR="0065180D" w:rsidRPr="00307F3A" w:rsidRDefault="0065180D" w:rsidP="005E6B71">
      <w:pPr>
        <w:framePr w:w="9758" w:h="9625" w:hRule="exact" w:wrap="notBeside" w:vAnchor="page" w:hAnchor="page" w:x="1169" w:y="6210"/>
        <w:spacing w:after="240"/>
        <w:jc w:val="center"/>
        <w:rPr>
          <w:rFonts w:ascii="Arial" w:hAnsi="Arial" w:cs="Arial"/>
          <w:sz w:val="18"/>
        </w:rPr>
      </w:pPr>
      <w:r w:rsidRPr="00307F3A">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1AC99827" w14:textId="77777777" w:rsidR="0065180D" w:rsidRPr="00307F3A" w:rsidRDefault="0065180D" w:rsidP="005E6B71">
      <w:pPr>
        <w:framePr w:w="9758" w:h="9625" w:hRule="exact" w:wrap="notBeside" w:vAnchor="page" w:hAnchor="page" w:x="1169" w:y="6210"/>
        <w:pBdr>
          <w:bottom w:val="single" w:sz="6" w:space="1" w:color="auto"/>
        </w:pBdr>
        <w:spacing w:after="120"/>
        <w:jc w:val="center"/>
        <w:rPr>
          <w:rFonts w:ascii="Arial" w:hAnsi="Arial"/>
          <w:b/>
          <w:i/>
        </w:rPr>
      </w:pPr>
      <w:r w:rsidRPr="00307F3A">
        <w:rPr>
          <w:rFonts w:ascii="Arial" w:hAnsi="Arial"/>
          <w:b/>
          <w:i/>
        </w:rPr>
        <w:t>Copyright Notification</w:t>
      </w:r>
    </w:p>
    <w:p w14:paraId="42DEC152"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bookmarkStart w:id="11" w:name="CleanupToDelete"/>
      <w:r w:rsidRPr="00307F3A">
        <w:rPr>
          <w:rFonts w:ascii="Arial" w:hAnsi="Arial" w:cs="Arial"/>
          <w:sz w:val="18"/>
        </w:rPr>
        <w:t>No part may be reproduced or utilized in any form or by any means, electronic or mechanical, including photocopying and microfilm except as authorized by written permission of ETSI.</w:t>
      </w:r>
      <w:r w:rsidRPr="00307F3A">
        <w:rPr>
          <w:rFonts w:ascii="Arial" w:hAnsi="Arial" w:cs="Arial"/>
          <w:sz w:val="18"/>
        </w:rPr>
        <w:br/>
        <w:t>The content of the PDF version shall not be modified without the written authorization of ETSI.</w:t>
      </w:r>
      <w:r w:rsidRPr="00307F3A">
        <w:rPr>
          <w:rFonts w:ascii="Arial" w:hAnsi="Arial" w:cs="Arial"/>
          <w:sz w:val="18"/>
        </w:rPr>
        <w:br/>
        <w:t>The copyright and the foregoing restriction extend to reproduction in all media.</w:t>
      </w:r>
    </w:p>
    <w:bookmarkEnd w:id="11"/>
    <w:p w14:paraId="76AB469F"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p>
    <w:p w14:paraId="23C127D1" w14:textId="77777777" w:rsidR="0065180D" w:rsidRPr="00307F3A" w:rsidRDefault="0065180D" w:rsidP="005E6B71">
      <w:pPr>
        <w:framePr w:w="9758" w:h="9625" w:hRule="exact" w:wrap="notBeside" w:vAnchor="page" w:hAnchor="page" w:x="1169" w:y="6210"/>
        <w:spacing w:after="0"/>
        <w:jc w:val="center"/>
        <w:rPr>
          <w:rFonts w:ascii="Arial" w:hAnsi="Arial" w:cs="Arial"/>
          <w:sz w:val="18"/>
        </w:rPr>
      </w:pPr>
      <w:r w:rsidRPr="00307F3A">
        <w:rPr>
          <w:rFonts w:ascii="Arial" w:hAnsi="Arial" w:cs="Arial"/>
          <w:sz w:val="18"/>
        </w:rPr>
        <w:t>© ETSI yyyy.</w:t>
      </w:r>
      <w:bookmarkStart w:id="12" w:name="copyrightaddon"/>
      <w:bookmarkEnd w:id="12"/>
    </w:p>
    <w:p w14:paraId="141F7B56" w14:textId="6D8FF03E" w:rsidR="00BC33F7" w:rsidRPr="00F54712" w:rsidRDefault="0065180D" w:rsidP="005E6B71">
      <w:pPr>
        <w:pStyle w:val="FP"/>
        <w:framePr w:w="9758" w:h="9625" w:hRule="exact" w:wrap="notBeside" w:vAnchor="page" w:hAnchor="page" w:x="1169" w:y="6210"/>
        <w:jc w:val="center"/>
        <w:rPr>
          <w:rFonts w:ascii="Arial" w:hAnsi="Arial" w:cs="Arial"/>
          <w:sz w:val="18"/>
          <w:szCs w:val="18"/>
        </w:rPr>
      </w:pPr>
      <w:bookmarkStart w:id="13" w:name="tbcopyright"/>
      <w:bookmarkEnd w:id="13"/>
      <w:r w:rsidRPr="00307F3A">
        <w:rPr>
          <w:rFonts w:ascii="Arial" w:hAnsi="Arial" w:cs="Arial"/>
          <w:sz w:val="18"/>
        </w:rPr>
        <w:t>All rights reserved.</w:t>
      </w:r>
      <w:r w:rsidR="00BC33F7" w:rsidRPr="00F54712">
        <w:rPr>
          <w:rFonts w:ascii="Arial" w:hAnsi="Arial" w:cs="Arial"/>
          <w:sz w:val="18"/>
        </w:rPr>
        <w:br/>
      </w:r>
    </w:p>
    <w:p w14:paraId="16CB3ED4" w14:textId="77777777" w:rsidR="00414E11" w:rsidRPr="00E07F2C" w:rsidRDefault="00787554" w:rsidP="00F445AD">
      <w:pPr>
        <w:pStyle w:val="TT"/>
        <w:tabs>
          <w:tab w:val="left" w:pos="7655"/>
        </w:tabs>
      </w:pPr>
      <w:r w:rsidRPr="00F54712">
        <w:rPr>
          <w:rStyle w:val="Guidance"/>
          <w:szCs w:val="36"/>
        </w:rPr>
        <w:br w:type="page"/>
      </w:r>
      <w:bookmarkStart w:id="14" w:name="_Toc451532662"/>
      <w:r w:rsidR="00BB6418" w:rsidRPr="00E07F2C">
        <w:lastRenderedPageBreak/>
        <w:t>Contents</w:t>
      </w:r>
      <w:bookmarkEnd w:id="14"/>
    </w:p>
    <w:p w14:paraId="07A4B3F3" w14:textId="0BF6EDCF" w:rsidR="006E2E62" w:rsidRDefault="0078691B">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\w "1-9"</w:instrText>
      </w:r>
      <w:r>
        <w:fldChar w:fldCharType="separate"/>
      </w:r>
      <w:r w:rsidR="006E2E62">
        <w:t>Intellectual Property Rights</w:t>
      </w:r>
      <w:r w:rsidR="006E2E62">
        <w:tab/>
      </w:r>
      <w:r w:rsidR="006E2E62">
        <w:fldChar w:fldCharType="begin"/>
      </w:r>
      <w:r w:rsidR="006E2E62">
        <w:instrText xml:space="preserve"> PAGEREF _Toc197336985 \h </w:instrText>
      </w:r>
      <w:r w:rsidR="006E2E62">
        <w:fldChar w:fldCharType="separate"/>
      </w:r>
      <w:r w:rsidR="006E2E62">
        <w:t>6</w:t>
      </w:r>
      <w:r w:rsidR="006E2E62">
        <w:fldChar w:fldCharType="end"/>
      </w:r>
    </w:p>
    <w:p w14:paraId="54982E1E" w14:textId="78C96581" w:rsidR="006E2E62" w:rsidRDefault="006E2E62">
      <w:pPr>
        <w:pStyle w:val="TOC1"/>
        <w:rPr>
          <w:rFonts w:asciiTheme="minorHAnsi" w:eastAsiaTheme="minorEastAsia" w:hAnsiTheme="minorHAnsi" w:cstheme="minorBidi"/>
          <w:kern w:val="2"/>
          <w:sz w:val="24"/>
          <w:szCs w:val="24"/>
          <w:lang w:eastAsia="en-GB"/>
          <w14:ligatures w14:val="standardContextual"/>
        </w:rPr>
      </w:pPr>
      <w:r>
        <w:t>Foreword</w:t>
      </w:r>
      <w:r>
        <w:tab/>
      </w:r>
      <w:r>
        <w:fldChar w:fldCharType="begin"/>
      </w:r>
      <w:r>
        <w:instrText xml:space="preserve"> PAGEREF _Toc197336986 \h </w:instrText>
      </w:r>
      <w:r>
        <w:fldChar w:fldCharType="separate"/>
      </w:r>
      <w:r>
        <w:t>6</w:t>
      </w:r>
      <w:r>
        <w:fldChar w:fldCharType="end"/>
      </w:r>
    </w:p>
    <w:p w14:paraId="6D2E219E" w14:textId="4F415208" w:rsidR="006E2E62" w:rsidRDefault="006E2E62">
      <w:pPr>
        <w:pStyle w:val="TOC1"/>
        <w:rPr>
          <w:rFonts w:asciiTheme="minorHAnsi" w:eastAsiaTheme="minorEastAsia" w:hAnsiTheme="minorHAnsi" w:cstheme="minorBidi"/>
          <w:kern w:val="2"/>
          <w:sz w:val="24"/>
          <w:szCs w:val="24"/>
          <w:lang w:eastAsia="en-GB"/>
          <w14:ligatures w14:val="standardContextual"/>
        </w:rPr>
      </w:pPr>
      <w:r>
        <w:t>Modal verbs terminology</w:t>
      </w:r>
      <w:r>
        <w:tab/>
      </w:r>
      <w:r>
        <w:fldChar w:fldCharType="begin"/>
      </w:r>
      <w:r>
        <w:instrText xml:space="preserve"> PAGEREF _Toc197336987 \h </w:instrText>
      </w:r>
      <w:r>
        <w:fldChar w:fldCharType="separate"/>
      </w:r>
      <w:r>
        <w:t>6</w:t>
      </w:r>
      <w:r>
        <w:fldChar w:fldCharType="end"/>
      </w:r>
    </w:p>
    <w:p w14:paraId="1DCC99BF" w14:textId="33DC377E" w:rsidR="006E2E62" w:rsidRDefault="006E2E62">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r>
      <w:r>
        <w:instrText xml:space="preserve"> PAGEREF _Toc197336988 \h </w:instrText>
      </w:r>
      <w:r>
        <w:fldChar w:fldCharType="separate"/>
      </w:r>
      <w:r>
        <w:t>6</w:t>
      </w:r>
      <w:r>
        <w:fldChar w:fldCharType="end"/>
      </w:r>
    </w:p>
    <w:p w14:paraId="4D32E4B7" w14:textId="0196BC62" w:rsidR="006E2E62" w:rsidRDefault="006E2E62">
      <w:pPr>
        <w:pStyle w:val="TOC1"/>
        <w:rPr>
          <w:rFonts w:asciiTheme="minorHAnsi" w:eastAsiaTheme="minorEastAsia" w:hAnsiTheme="minorHAnsi" w:cstheme="minorBidi"/>
          <w:kern w:val="2"/>
          <w:sz w:val="24"/>
          <w:szCs w:val="24"/>
          <w:lang w:eastAsia="en-GB"/>
          <w14:ligatures w14:val="standardContextual"/>
        </w:rPr>
      </w:pPr>
      <w:r>
        <w:t>1</w:t>
      </w:r>
      <w:r>
        <w:tab/>
        <w:t>Scope</w:t>
      </w:r>
      <w:r>
        <w:tab/>
      </w:r>
      <w:r>
        <w:fldChar w:fldCharType="begin"/>
      </w:r>
      <w:r>
        <w:instrText xml:space="preserve"> PAGEREF _Toc197336989 \h </w:instrText>
      </w:r>
      <w:r>
        <w:fldChar w:fldCharType="separate"/>
      </w:r>
      <w:r>
        <w:t>7</w:t>
      </w:r>
      <w:r>
        <w:fldChar w:fldCharType="end"/>
      </w:r>
    </w:p>
    <w:p w14:paraId="347D2064" w14:textId="35F049D8" w:rsidR="006E2E62" w:rsidRDefault="006E2E62">
      <w:pPr>
        <w:pStyle w:val="TOC1"/>
        <w:rPr>
          <w:rFonts w:asciiTheme="minorHAnsi" w:eastAsiaTheme="minorEastAsia" w:hAnsiTheme="minorHAnsi" w:cstheme="minorBidi"/>
          <w:kern w:val="2"/>
          <w:sz w:val="24"/>
          <w:szCs w:val="24"/>
          <w:lang w:eastAsia="en-GB"/>
          <w14:ligatures w14:val="standardContextual"/>
        </w:rPr>
      </w:pPr>
      <w:r>
        <w:t>2</w:t>
      </w:r>
      <w:r>
        <w:tab/>
        <w:t>References</w:t>
      </w:r>
      <w:r>
        <w:tab/>
      </w:r>
      <w:r>
        <w:fldChar w:fldCharType="begin"/>
      </w:r>
      <w:r>
        <w:instrText xml:space="preserve"> PAGEREF _Toc197336990 \h </w:instrText>
      </w:r>
      <w:r>
        <w:fldChar w:fldCharType="separate"/>
      </w:r>
      <w:r>
        <w:t>7</w:t>
      </w:r>
      <w:r>
        <w:fldChar w:fldCharType="end"/>
      </w:r>
    </w:p>
    <w:p w14:paraId="3F5062FC" w14:textId="16AA8796" w:rsidR="006E2E62" w:rsidRDefault="006E2E62">
      <w:pPr>
        <w:pStyle w:val="TOC2"/>
        <w:rPr>
          <w:rFonts w:asciiTheme="minorHAnsi" w:eastAsiaTheme="minorEastAsia" w:hAnsiTheme="minorHAnsi" w:cstheme="minorBidi"/>
          <w:kern w:val="2"/>
          <w:sz w:val="24"/>
          <w:szCs w:val="24"/>
          <w:lang w:eastAsia="en-GB"/>
          <w14:ligatures w14:val="standardContextual"/>
        </w:rPr>
      </w:pPr>
      <w:r>
        <w:t>2.1</w:t>
      </w:r>
      <w:r>
        <w:tab/>
        <w:t>Normative references</w:t>
      </w:r>
      <w:r>
        <w:tab/>
      </w:r>
      <w:r>
        <w:fldChar w:fldCharType="begin"/>
      </w:r>
      <w:r>
        <w:instrText xml:space="preserve"> PAGEREF _Toc197336991 \h </w:instrText>
      </w:r>
      <w:r>
        <w:fldChar w:fldCharType="separate"/>
      </w:r>
      <w:r>
        <w:t>7</w:t>
      </w:r>
      <w:r>
        <w:fldChar w:fldCharType="end"/>
      </w:r>
    </w:p>
    <w:p w14:paraId="09F24267" w14:textId="2EB5E9FF" w:rsidR="006E2E62" w:rsidRDefault="006E2E62">
      <w:pPr>
        <w:pStyle w:val="TOC2"/>
        <w:rPr>
          <w:rFonts w:asciiTheme="minorHAnsi" w:eastAsiaTheme="minorEastAsia" w:hAnsiTheme="minorHAnsi" w:cstheme="minorBidi"/>
          <w:kern w:val="2"/>
          <w:sz w:val="24"/>
          <w:szCs w:val="24"/>
          <w:lang w:eastAsia="en-GB"/>
          <w14:ligatures w14:val="standardContextual"/>
        </w:rPr>
      </w:pPr>
      <w:r>
        <w:t>2.2</w:t>
      </w:r>
      <w:r>
        <w:tab/>
        <w:t>Informative references</w:t>
      </w:r>
      <w:r>
        <w:tab/>
      </w:r>
      <w:r>
        <w:fldChar w:fldCharType="begin"/>
      </w:r>
      <w:r>
        <w:instrText xml:space="preserve"> PAGEREF _Toc197336992 \h </w:instrText>
      </w:r>
      <w:r>
        <w:fldChar w:fldCharType="separate"/>
      </w:r>
      <w:r>
        <w:t>7</w:t>
      </w:r>
      <w:r>
        <w:fldChar w:fldCharType="end"/>
      </w:r>
    </w:p>
    <w:p w14:paraId="2DEA2FA1" w14:textId="2C085A90" w:rsidR="006E2E62" w:rsidRDefault="006E2E62">
      <w:pPr>
        <w:pStyle w:val="TOC1"/>
        <w:rPr>
          <w:rFonts w:asciiTheme="minorHAnsi" w:eastAsiaTheme="minorEastAsia" w:hAnsiTheme="minorHAnsi" w:cstheme="minorBidi"/>
          <w:kern w:val="2"/>
          <w:sz w:val="24"/>
          <w:szCs w:val="24"/>
          <w:lang w:eastAsia="en-GB"/>
          <w14:ligatures w14:val="standardContextual"/>
        </w:rPr>
      </w:pPr>
      <w:r>
        <w:t>3</w:t>
      </w:r>
      <w:r>
        <w:tab/>
        <w:t>Definition of terms, symbols and abbreviations</w:t>
      </w:r>
      <w:r>
        <w:tab/>
      </w:r>
      <w:r>
        <w:fldChar w:fldCharType="begin"/>
      </w:r>
      <w:r>
        <w:instrText xml:space="preserve"> PAGEREF _Toc197336993 \h </w:instrText>
      </w:r>
      <w:r>
        <w:fldChar w:fldCharType="separate"/>
      </w:r>
      <w:r>
        <w:t>10</w:t>
      </w:r>
      <w:r>
        <w:fldChar w:fldCharType="end"/>
      </w:r>
    </w:p>
    <w:p w14:paraId="0C31EE89" w14:textId="107743F8" w:rsidR="006E2E62" w:rsidRDefault="006E2E62">
      <w:pPr>
        <w:pStyle w:val="TOC2"/>
        <w:rPr>
          <w:rFonts w:asciiTheme="minorHAnsi" w:eastAsiaTheme="minorEastAsia" w:hAnsiTheme="minorHAnsi" w:cstheme="minorBidi"/>
          <w:kern w:val="2"/>
          <w:sz w:val="24"/>
          <w:szCs w:val="24"/>
          <w:lang w:eastAsia="en-GB"/>
          <w14:ligatures w14:val="standardContextual"/>
        </w:rPr>
      </w:pPr>
      <w:r>
        <w:t>3.1</w:t>
      </w:r>
      <w:r>
        <w:tab/>
        <w:t>Terms</w:t>
      </w:r>
      <w:r>
        <w:tab/>
      </w:r>
      <w:r>
        <w:fldChar w:fldCharType="begin"/>
      </w:r>
      <w:r>
        <w:instrText xml:space="preserve"> PAGEREF _Toc197336994 \h </w:instrText>
      </w:r>
      <w:r>
        <w:fldChar w:fldCharType="separate"/>
      </w:r>
      <w:r>
        <w:t>10</w:t>
      </w:r>
      <w:r>
        <w:fldChar w:fldCharType="end"/>
      </w:r>
    </w:p>
    <w:p w14:paraId="7298B656" w14:textId="4A5F03E2" w:rsidR="006E2E62" w:rsidRDefault="006E2E62">
      <w:pPr>
        <w:pStyle w:val="TOC2"/>
        <w:rPr>
          <w:rFonts w:asciiTheme="minorHAnsi" w:eastAsiaTheme="minorEastAsia" w:hAnsiTheme="minorHAnsi" w:cstheme="minorBidi"/>
          <w:kern w:val="2"/>
          <w:sz w:val="24"/>
          <w:szCs w:val="24"/>
          <w:lang w:eastAsia="en-GB"/>
          <w14:ligatures w14:val="standardContextual"/>
        </w:rPr>
      </w:pPr>
      <w:r>
        <w:t>3.2</w:t>
      </w:r>
      <w:r>
        <w:tab/>
        <w:t>Symbols</w:t>
      </w:r>
      <w:r>
        <w:tab/>
      </w:r>
      <w:r>
        <w:fldChar w:fldCharType="begin"/>
      </w:r>
      <w:r>
        <w:instrText xml:space="preserve"> PAGEREF _Toc197336995 \h </w:instrText>
      </w:r>
      <w:r>
        <w:fldChar w:fldCharType="separate"/>
      </w:r>
      <w:r>
        <w:t>11</w:t>
      </w:r>
      <w:r>
        <w:fldChar w:fldCharType="end"/>
      </w:r>
    </w:p>
    <w:p w14:paraId="679806C3" w14:textId="08B5D7F0" w:rsidR="006E2E62" w:rsidRDefault="006E2E62">
      <w:pPr>
        <w:pStyle w:val="TOC2"/>
        <w:rPr>
          <w:rFonts w:asciiTheme="minorHAnsi" w:eastAsiaTheme="minorEastAsia" w:hAnsiTheme="minorHAnsi" w:cstheme="minorBidi"/>
          <w:kern w:val="2"/>
          <w:sz w:val="24"/>
          <w:szCs w:val="24"/>
          <w:lang w:eastAsia="en-GB"/>
          <w14:ligatures w14:val="standardContextual"/>
        </w:rPr>
      </w:pPr>
      <w:r>
        <w:t>3.3</w:t>
      </w:r>
      <w:r>
        <w:tab/>
        <w:t>Abbreviations</w:t>
      </w:r>
      <w:r>
        <w:tab/>
      </w:r>
      <w:r>
        <w:fldChar w:fldCharType="begin"/>
      </w:r>
      <w:r>
        <w:instrText xml:space="preserve"> PAGEREF _Toc197336996 \h </w:instrText>
      </w:r>
      <w:r>
        <w:fldChar w:fldCharType="separate"/>
      </w:r>
      <w:r>
        <w:t>12</w:t>
      </w:r>
      <w:r>
        <w:fldChar w:fldCharType="end"/>
      </w:r>
    </w:p>
    <w:p w14:paraId="4E485AE7" w14:textId="2C0F0274" w:rsidR="006E2E62" w:rsidRDefault="006E2E62">
      <w:pPr>
        <w:pStyle w:val="TOC1"/>
        <w:rPr>
          <w:rFonts w:asciiTheme="minorHAnsi" w:eastAsiaTheme="minorEastAsia" w:hAnsiTheme="minorHAnsi" w:cstheme="minorBidi"/>
          <w:kern w:val="2"/>
          <w:sz w:val="24"/>
          <w:szCs w:val="24"/>
          <w:lang w:eastAsia="en-GB"/>
          <w14:ligatures w14:val="standardContextual"/>
        </w:rPr>
      </w:pPr>
      <w:r>
        <w:t>4</w:t>
      </w:r>
      <w:r>
        <w:tab/>
        <w:t>Considerations</w:t>
      </w:r>
      <w:r>
        <w:tab/>
      </w:r>
      <w:r>
        <w:fldChar w:fldCharType="begin"/>
      </w:r>
      <w:r>
        <w:instrText xml:space="preserve"> PAGEREF _Toc197336997 \h </w:instrText>
      </w:r>
      <w:r>
        <w:fldChar w:fldCharType="separate"/>
      </w:r>
      <w:r>
        <w:t>13</w:t>
      </w:r>
      <w:r>
        <w:fldChar w:fldCharType="end"/>
      </w:r>
    </w:p>
    <w:p w14:paraId="48D4379E" w14:textId="4E01165F" w:rsidR="006E2E62" w:rsidRDefault="006E2E62">
      <w:pPr>
        <w:pStyle w:val="TOC2"/>
        <w:rPr>
          <w:rFonts w:asciiTheme="minorHAnsi" w:eastAsiaTheme="minorEastAsia" w:hAnsiTheme="minorHAnsi" w:cstheme="minorBidi"/>
          <w:kern w:val="2"/>
          <w:sz w:val="24"/>
          <w:szCs w:val="24"/>
          <w:lang w:eastAsia="en-GB"/>
          <w14:ligatures w14:val="standardContextual"/>
        </w:rPr>
      </w:pPr>
      <w:r>
        <w:t>4.1</w:t>
      </w:r>
      <w:r>
        <w:tab/>
        <w:t>Introduction</w:t>
      </w:r>
      <w:r>
        <w:tab/>
      </w:r>
      <w:r>
        <w:fldChar w:fldCharType="begin"/>
      </w:r>
      <w:r>
        <w:instrText xml:space="preserve"> PAGEREF _Toc197336998 \h </w:instrText>
      </w:r>
      <w:r>
        <w:fldChar w:fldCharType="separate"/>
      </w:r>
      <w:r>
        <w:t>13</w:t>
      </w:r>
      <w:r>
        <w:fldChar w:fldCharType="end"/>
      </w:r>
    </w:p>
    <w:p w14:paraId="1066913A" w14:textId="2176569B" w:rsidR="006E2E62" w:rsidRDefault="006E2E62">
      <w:pPr>
        <w:pStyle w:val="TOC2"/>
        <w:rPr>
          <w:rFonts w:asciiTheme="minorHAnsi" w:eastAsiaTheme="minorEastAsia" w:hAnsiTheme="minorHAnsi" w:cstheme="minorBidi"/>
          <w:kern w:val="2"/>
          <w:sz w:val="24"/>
          <w:szCs w:val="24"/>
          <w:lang w:eastAsia="en-GB"/>
          <w14:ligatures w14:val="standardContextual"/>
        </w:rPr>
      </w:pPr>
      <w:r>
        <w:t>4.2</w:t>
      </w:r>
      <w:r>
        <w:tab/>
        <w:t>Message Handling</w:t>
      </w:r>
      <w:r>
        <w:tab/>
      </w:r>
      <w:r>
        <w:fldChar w:fldCharType="begin"/>
      </w:r>
      <w:r>
        <w:instrText xml:space="preserve"> PAGEREF _Toc197336999 \h </w:instrText>
      </w:r>
      <w:r>
        <w:fldChar w:fldCharType="separate"/>
      </w:r>
      <w:r>
        <w:t>13</w:t>
      </w:r>
      <w:r>
        <w:fldChar w:fldCharType="end"/>
      </w:r>
    </w:p>
    <w:p w14:paraId="49DE15F7" w14:textId="093970DD" w:rsidR="006E2E62" w:rsidRDefault="006E2E62">
      <w:pPr>
        <w:pStyle w:val="TOC2"/>
        <w:rPr>
          <w:rFonts w:asciiTheme="minorHAnsi" w:eastAsiaTheme="minorEastAsia" w:hAnsiTheme="minorHAnsi" w:cstheme="minorBidi"/>
          <w:kern w:val="2"/>
          <w:sz w:val="24"/>
          <w:szCs w:val="24"/>
          <w:lang w:eastAsia="en-GB"/>
          <w14:ligatures w14:val="standardContextual"/>
        </w:rPr>
      </w:pPr>
      <w:r>
        <w:t>4.3</w:t>
      </w:r>
      <w:r>
        <w:tab/>
        <w:t>Quality of Service improvement</w:t>
      </w:r>
      <w:r>
        <w:tab/>
      </w:r>
      <w:r>
        <w:fldChar w:fldCharType="begin"/>
      </w:r>
      <w:r>
        <w:instrText xml:space="preserve"> PAGEREF _Toc197337000 \h </w:instrText>
      </w:r>
      <w:r>
        <w:fldChar w:fldCharType="separate"/>
      </w:r>
      <w:r>
        <w:t>13</w:t>
      </w:r>
      <w:r>
        <w:fldChar w:fldCharType="end"/>
      </w:r>
    </w:p>
    <w:p w14:paraId="67FD91E6" w14:textId="7A8187C9" w:rsidR="006E2E62" w:rsidRDefault="006E2E62">
      <w:pPr>
        <w:pStyle w:val="TOC2"/>
        <w:rPr>
          <w:rFonts w:asciiTheme="minorHAnsi" w:eastAsiaTheme="minorEastAsia" w:hAnsiTheme="minorHAnsi" w:cstheme="minorBidi"/>
          <w:kern w:val="2"/>
          <w:sz w:val="24"/>
          <w:szCs w:val="24"/>
          <w:lang w:eastAsia="en-GB"/>
          <w14:ligatures w14:val="standardContextual"/>
        </w:rPr>
      </w:pPr>
      <w:r>
        <w:t>4.4</w:t>
      </w:r>
      <w:r>
        <w:tab/>
        <w:t>The system context</w:t>
      </w:r>
      <w:r>
        <w:tab/>
      </w:r>
      <w:r>
        <w:fldChar w:fldCharType="begin"/>
      </w:r>
      <w:r>
        <w:instrText xml:space="preserve"> PAGEREF _Toc197337001 \h </w:instrText>
      </w:r>
      <w:r>
        <w:fldChar w:fldCharType="separate"/>
      </w:r>
      <w:r>
        <w:t>15</w:t>
      </w:r>
      <w:r>
        <w:fldChar w:fldCharType="end"/>
      </w:r>
    </w:p>
    <w:p w14:paraId="05D31759" w14:textId="7D2215D8" w:rsidR="006E2E62" w:rsidRDefault="006E2E62">
      <w:pPr>
        <w:pStyle w:val="TOC3"/>
        <w:rPr>
          <w:rFonts w:asciiTheme="minorHAnsi" w:eastAsiaTheme="minorEastAsia" w:hAnsiTheme="minorHAnsi" w:cstheme="minorBidi"/>
          <w:kern w:val="2"/>
          <w:sz w:val="24"/>
          <w:szCs w:val="24"/>
          <w:lang w:eastAsia="en-GB"/>
          <w14:ligatures w14:val="standardContextual"/>
        </w:rPr>
      </w:pPr>
      <w:r>
        <w:t>4.4.1</w:t>
      </w:r>
      <w:r>
        <w:tab/>
        <w:t>Overview</w:t>
      </w:r>
      <w:r>
        <w:tab/>
      </w:r>
      <w:r>
        <w:fldChar w:fldCharType="begin"/>
      </w:r>
      <w:r>
        <w:instrText xml:space="preserve"> PAGEREF _Toc197337002 \h </w:instrText>
      </w:r>
      <w:r>
        <w:fldChar w:fldCharType="separate"/>
      </w:r>
      <w:r>
        <w:t>15</w:t>
      </w:r>
      <w:r>
        <w:fldChar w:fldCharType="end"/>
      </w:r>
    </w:p>
    <w:p w14:paraId="0E336F4D" w14:textId="2474A47B" w:rsidR="006E2E62" w:rsidRDefault="006E2E62">
      <w:pPr>
        <w:pStyle w:val="TOC3"/>
        <w:rPr>
          <w:rFonts w:asciiTheme="minorHAnsi" w:eastAsiaTheme="minorEastAsia" w:hAnsiTheme="minorHAnsi" w:cstheme="minorBidi"/>
          <w:kern w:val="2"/>
          <w:sz w:val="24"/>
          <w:szCs w:val="24"/>
          <w:lang w:eastAsia="en-GB"/>
          <w14:ligatures w14:val="standardContextual"/>
        </w:rPr>
      </w:pPr>
      <w:r>
        <w:t>4.4.2</w:t>
      </w:r>
      <w:r>
        <w:tab/>
        <w:t>Channel Load</w:t>
      </w:r>
      <w:r>
        <w:tab/>
      </w:r>
      <w:r>
        <w:fldChar w:fldCharType="begin"/>
      </w:r>
      <w:r>
        <w:instrText xml:space="preserve"> PAGEREF _Toc197337003 \h </w:instrText>
      </w:r>
      <w:r>
        <w:fldChar w:fldCharType="separate"/>
      </w:r>
      <w:r>
        <w:t>15</w:t>
      </w:r>
      <w:r>
        <w:fldChar w:fldCharType="end"/>
      </w:r>
    </w:p>
    <w:p w14:paraId="664198C3" w14:textId="010A377A" w:rsidR="006E2E62" w:rsidRDefault="006E2E62">
      <w:pPr>
        <w:pStyle w:val="TOC3"/>
        <w:rPr>
          <w:rFonts w:asciiTheme="minorHAnsi" w:eastAsiaTheme="minorEastAsia" w:hAnsiTheme="minorHAnsi" w:cstheme="minorBidi"/>
          <w:kern w:val="2"/>
          <w:sz w:val="24"/>
          <w:szCs w:val="24"/>
          <w:lang w:eastAsia="en-GB"/>
          <w14:ligatures w14:val="standardContextual"/>
        </w:rPr>
      </w:pPr>
      <w:r>
        <w:t>4.4.3</w:t>
      </w:r>
      <w:r>
        <w:tab/>
        <w:t>Access Layer operation</w:t>
      </w:r>
      <w:r>
        <w:tab/>
      </w:r>
      <w:r>
        <w:fldChar w:fldCharType="begin"/>
      </w:r>
      <w:r>
        <w:instrText xml:space="preserve"> PAGEREF _Toc197337004 \h </w:instrText>
      </w:r>
      <w:r>
        <w:fldChar w:fldCharType="separate"/>
      </w:r>
      <w:r>
        <w:t>16</w:t>
      </w:r>
      <w:r>
        <w:fldChar w:fldCharType="end"/>
      </w:r>
    </w:p>
    <w:p w14:paraId="7D8E6F17" w14:textId="608DBA7F" w:rsidR="006E2E62" w:rsidRDefault="006E2E62">
      <w:pPr>
        <w:pStyle w:val="TOC3"/>
        <w:rPr>
          <w:rFonts w:asciiTheme="minorHAnsi" w:eastAsiaTheme="minorEastAsia" w:hAnsiTheme="minorHAnsi" w:cstheme="minorBidi"/>
          <w:kern w:val="2"/>
          <w:sz w:val="24"/>
          <w:szCs w:val="24"/>
          <w:lang w:eastAsia="en-GB"/>
          <w14:ligatures w14:val="standardContextual"/>
        </w:rPr>
      </w:pPr>
      <w:r>
        <w:t>4.4.4</w:t>
      </w:r>
      <w:r>
        <w:tab/>
        <w:t>Adjacent channel</w:t>
      </w:r>
      <w:r>
        <w:tab/>
      </w:r>
      <w:r>
        <w:fldChar w:fldCharType="begin"/>
      </w:r>
      <w:r>
        <w:instrText xml:space="preserve"> PAGEREF _Toc197337005 \h </w:instrText>
      </w:r>
      <w:r>
        <w:fldChar w:fldCharType="separate"/>
      </w:r>
      <w:r>
        <w:t>16</w:t>
      </w:r>
      <w:r>
        <w:fldChar w:fldCharType="end"/>
      </w:r>
    </w:p>
    <w:p w14:paraId="5C48C807" w14:textId="1926F8A3" w:rsidR="006E2E62" w:rsidRDefault="006E2E62">
      <w:pPr>
        <w:pStyle w:val="TOC3"/>
        <w:rPr>
          <w:rFonts w:asciiTheme="minorHAnsi" w:eastAsiaTheme="minorEastAsia" w:hAnsiTheme="minorHAnsi" w:cstheme="minorBidi"/>
          <w:kern w:val="2"/>
          <w:sz w:val="24"/>
          <w:szCs w:val="24"/>
          <w:lang w:eastAsia="en-GB"/>
          <w14:ligatures w14:val="standardContextual"/>
        </w:rPr>
      </w:pPr>
      <w:r>
        <w:t>4.4.5</w:t>
      </w:r>
      <w:r>
        <w:tab/>
        <w:t>Networking &amp; Transport Layer operation</w:t>
      </w:r>
      <w:r>
        <w:tab/>
      </w:r>
      <w:r>
        <w:fldChar w:fldCharType="begin"/>
      </w:r>
      <w:r>
        <w:instrText xml:space="preserve"> PAGEREF _Toc197337006 \h </w:instrText>
      </w:r>
      <w:r>
        <w:fldChar w:fldCharType="separate"/>
      </w:r>
      <w:r>
        <w:t>16</w:t>
      </w:r>
      <w:r>
        <w:fldChar w:fldCharType="end"/>
      </w:r>
    </w:p>
    <w:p w14:paraId="6F2EAC5A" w14:textId="224E9424" w:rsidR="006E2E62" w:rsidRDefault="006E2E62">
      <w:pPr>
        <w:pStyle w:val="TOC3"/>
        <w:rPr>
          <w:rFonts w:asciiTheme="minorHAnsi" w:eastAsiaTheme="minorEastAsia" w:hAnsiTheme="minorHAnsi" w:cstheme="minorBidi"/>
          <w:kern w:val="2"/>
          <w:sz w:val="24"/>
          <w:szCs w:val="24"/>
          <w:lang w:eastAsia="en-GB"/>
          <w14:ligatures w14:val="standardContextual"/>
        </w:rPr>
      </w:pPr>
      <w:r>
        <w:t>4.4.6</w:t>
      </w:r>
      <w:r>
        <w:tab/>
        <w:t>Applications, Facilities Layer and Resource Management</w:t>
      </w:r>
      <w:r>
        <w:tab/>
      </w:r>
      <w:r>
        <w:fldChar w:fldCharType="begin"/>
      </w:r>
      <w:r>
        <w:instrText xml:space="preserve"> PAGEREF _Toc197337007 \h </w:instrText>
      </w:r>
      <w:r>
        <w:fldChar w:fldCharType="separate"/>
      </w:r>
      <w:r>
        <w:t>17</w:t>
      </w:r>
      <w:r>
        <w:fldChar w:fldCharType="end"/>
      </w:r>
    </w:p>
    <w:p w14:paraId="6C96E38A" w14:textId="586535D2" w:rsidR="006E2E62" w:rsidRDefault="006E2E62">
      <w:pPr>
        <w:pStyle w:val="TOC1"/>
        <w:rPr>
          <w:rFonts w:asciiTheme="minorHAnsi" w:eastAsiaTheme="minorEastAsia" w:hAnsiTheme="minorHAnsi" w:cstheme="minorBidi"/>
          <w:kern w:val="2"/>
          <w:sz w:val="24"/>
          <w:szCs w:val="24"/>
          <w:lang w:eastAsia="en-GB"/>
          <w14:ligatures w14:val="standardContextual"/>
        </w:rPr>
      </w:pPr>
      <w:r>
        <w:t>5</w:t>
      </w:r>
      <w:r w:rsidRPr="00536A2F">
        <w:rPr>
          <w:lang w:val="en-US"/>
        </w:rPr>
        <w:tab/>
        <w:t>Congestion Control Optimization</w:t>
      </w:r>
      <w:r>
        <w:tab/>
      </w:r>
      <w:r>
        <w:fldChar w:fldCharType="begin"/>
      </w:r>
      <w:r>
        <w:instrText xml:space="preserve"> PAGEREF _Toc197337008 \h </w:instrText>
      </w:r>
      <w:r>
        <w:fldChar w:fldCharType="separate"/>
      </w:r>
      <w:r>
        <w:t>17</w:t>
      </w:r>
      <w:r>
        <w:fldChar w:fldCharType="end"/>
      </w:r>
    </w:p>
    <w:p w14:paraId="73A42615" w14:textId="1CF176ED" w:rsidR="006E2E62" w:rsidRDefault="006E2E62">
      <w:pPr>
        <w:pStyle w:val="TOC2"/>
        <w:rPr>
          <w:rFonts w:asciiTheme="minorHAnsi" w:eastAsiaTheme="minorEastAsia" w:hAnsiTheme="minorHAnsi" w:cstheme="minorBidi"/>
          <w:kern w:val="2"/>
          <w:sz w:val="24"/>
          <w:szCs w:val="24"/>
          <w:lang w:eastAsia="en-GB"/>
          <w14:ligatures w14:val="standardContextual"/>
        </w:rPr>
      </w:pPr>
      <w:r>
        <w:t>5.1</w:t>
      </w:r>
      <w:r>
        <w:tab/>
        <w:t>Introduction</w:t>
      </w:r>
      <w:r>
        <w:tab/>
      </w:r>
      <w:r>
        <w:fldChar w:fldCharType="begin"/>
      </w:r>
      <w:r>
        <w:instrText xml:space="preserve"> PAGEREF _Toc197337009 \h </w:instrText>
      </w:r>
      <w:r>
        <w:fldChar w:fldCharType="separate"/>
      </w:r>
      <w:r>
        <w:t>17</w:t>
      </w:r>
      <w:r>
        <w:fldChar w:fldCharType="end"/>
      </w:r>
    </w:p>
    <w:p w14:paraId="7B55E4B1" w14:textId="79DED7F6" w:rsidR="006E2E62" w:rsidRDefault="006E2E62">
      <w:pPr>
        <w:pStyle w:val="TOC2"/>
        <w:rPr>
          <w:rFonts w:asciiTheme="minorHAnsi" w:eastAsiaTheme="minorEastAsia" w:hAnsiTheme="minorHAnsi" w:cstheme="minorBidi"/>
          <w:kern w:val="2"/>
          <w:sz w:val="24"/>
          <w:szCs w:val="24"/>
          <w:lang w:eastAsia="en-GB"/>
          <w14:ligatures w14:val="standardContextual"/>
        </w:rPr>
      </w:pPr>
      <w:r>
        <w:t>5.2</w:t>
      </w:r>
      <w:r>
        <w:tab/>
        <w:t>Decentralized congestion control in Release 1</w:t>
      </w:r>
      <w:r>
        <w:tab/>
      </w:r>
      <w:r>
        <w:fldChar w:fldCharType="begin"/>
      </w:r>
      <w:r>
        <w:instrText xml:space="preserve"> PAGEREF _Toc197337010 \h </w:instrText>
      </w:r>
      <w:r>
        <w:fldChar w:fldCharType="separate"/>
      </w:r>
      <w:r>
        <w:t>17</w:t>
      </w:r>
      <w:r>
        <w:fldChar w:fldCharType="end"/>
      </w:r>
    </w:p>
    <w:p w14:paraId="29335E40" w14:textId="5CBD66D1" w:rsidR="006E2E62" w:rsidRDefault="006E2E62">
      <w:pPr>
        <w:pStyle w:val="TOC3"/>
        <w:rPr>
          <w:rFonts w:asciiTheme="minorHAnsi" w:eastAsiaTheme="minorEastAsia" w:hAnsiTheme="minorHAnsi" w:cstheme="minorBidi"/>
          <w:kern w:val="2"/>
          <w:sz w:val="24"/>
          <w:szCs w:val="24"/>
          <w:lang w:eastAsia="en-GB"/>
          <w14:ligatures w14:val="standardContextual"/>
        </w:rPr>
      </w:pPr>
      <w:r>
        <w:t>5.2.1</w:t>
      </w:r>
      <w:r>
        <w:tab/>
        <w:t>Introduction</w:t>
      </w:r>
      <w:r>
        <w:tab/>
      </w:r>
      <w:r>
        <w:fldChar w:fldCharType="begin"/>
      </w:r>
      <w:r>
        <w:instrText xml:space="preserve"> PAGEREF _Toc197337011 \h </w:instrText>
      </w:r>
      <w:r>
        <w:fldChar w:fldCharType="separate"/>
      </w:r>
      <w:r>
        <w:t>17</w:t>
      </w:r>
      <w:r>
        <w:fldChar w:fldCharType="end"/>
      </w:r>
    </w:p>
    <w:p w14:paraId="32B39225" w14:textId="7CBC3CED" w:rsidR="006E2E62" w:rsidRDefault="006E2E62">
      <w:pPr>
        <w:pStyle w:val="TOC3"/>
        <w:rPr>
          <w:rFonts w:asciiTheme="minorHAnsi" w:eastAsiaTheme="minorEastAsia" w:hAnsiTheme="minorHAnsi" w:cstheme="minorBidi"/>
          <w:kern w:val="2"/>
          <w:sz w:val="24"/>
          <w:szCs w:val="24"/>
          <w:lang w:eastAsia="en-GB"/>
          <w14:ligatures w14:val="standardContextual"/>
        </w:rPr>
      </w:pPr>
      <w:r>
        <w:t>5.2.2</w:t>
      </w:r>
      <w:r>
        <w:tab/>
        <w:t>Overview of Release 1 DCC</w:t>
      </w:r>
      <w:r>
        <w:tab/>
      </w:r>
      <w:r>
        <w:fldChar w:fldCharType="begin"/>
      </w:r>
      <w:r>
        <w:instrText xml:space="preserve"> PAGEREF _Toc197337012 \h </w:instrText>
      </w:r>
      <w:r>
        <w:fldChar w:fldCharType="separate"/>
      </w:r>
      <w:r>
        <w:t>17</w:t>
      </w:r>
      <w:r>
        <w:fldChar w:fldCharType="end"/>
      </w:r>
    </w:p>
    <w:p w14:paraId="2DFA6790" w14:textId="3B530871" w:rsidR="006E2E62" w:rsidRDefault="006E2E62">
      <w:pPr>
        <w:pStyle w:val="TOC3"/>
        <w:rPr>
          <w:rFonts w:asciiTheme="minorHAnsi" w:eastAsiaTheme="minorEastAsia" w:hAnsiTheme="minorHAnsi" w:cstheme="minorBidi"/>
          <w:kern w:val="2"/>
          <w:sz w:val="24"/>
          <w:szCs w:val="24"/>
          <w:lang w:eastAsia="en-GB"/>
          <w14:ligatures w14:val="standardContextual"/>
        </w:rPr>
      </w:pPr>
      <w:r>
        <w:t>5.2.3</w:t>
      </w:r>
      <w:r>
        <w:tab/>
        <w:t>Metrics</w:t>
      </w:r>
      <w:r>
        <w:tab/>
      </w:r>
      <w:r>
        <w:fldChar w:fldCharType="begin"/>
      </w:r>
      <w:r>
        <w:instrText xml:space="preserve"> PAGEREF _Toc197337013 \h </w:instrText>
      </w:r>
      <w:r>
        <w:fldChar w:fldCharType="separate"/>
      </w:r>
      <w:r>
        <w:t>17</w:t>
      </w:r>
      <w:r>
        <w:fldChar w:fldCharType="end"/>
      </w:r>
    </w:p>
    <w:p w14:paraId="7A63DC25" w14:textId="26809563" w:rsidR="006E2E62" w:rsidRDefault="006E2E62">
      <w:pPr>
        <w:pStyle w:val="TOC3"/>
        <w:rPr>
          <w:rFonts w:asciiTheme="minorHAnsi" w:eastAsiaTheme="minorEastAsia" w:hAnsiTheme="minorHAnsi" w:cstheme="minorBidi"/>
          <w:kern w:val="2"/>
          <w:sz w:val="24"/>
          <w:szCs w:val="24"/>
          <w:lang w:eastAsia="en-GB"/>
          <w14:ligatures w14:val="standardContextual"/>
        </w:rPr>
      </w:pPr>
      <w:r>
        <w:t>5.2.4</w:t>
      </w:r>
      <w:r>
        <w:tab/>
        <w:t>Limit imposed to the channel load</w:t>
      </w:r>
      <w:r>
        <w:tab/>
      </w:r>
      <w:r>
        <w:fldChar w:fldCharType="begin"/>
      </w:r>
      <w:r>
        <w:instrText xml:space="preserve"> PAGEREF _Toc197337014 \h </w:instrText>
      </w:r>
      <w:r>
        <w:fldChar w:fldCharType="separate"/>
      </w:r>
      <w:r>
        <w:t>18</w:t>
      </w:r>
      <w:r>
        <w:fldChar w:fldCharType="end"/>
      </w:r>
    </w:p>
    <w:p w14:paraId="640179AA" w14:textId="7020570D" w:rsidR="006E2E62" w:rsidRDefault="006E2E62">
      <w:pPr>
        <w:pStyle w:val="TOC3"/>
        <w:rPr>
          <w:rFonts w:asciiTheme="minorHAnsi" w:eastAsiaTheme="minorEastAsia" w:hAnsiTheme="minorHAnsi" w:cstheme="minorBidi"/>
          <w:kern w:val="2"/>
          <w:sz w:val="24"/>
          <w:szCs w:val="24"/>
          <w:lang w:eastAsia="en-GB"/>
          <w14:ligatures w14:val="standardContextual"/>
        </w:rPr>
      </w:pPr>
      <w:r>
        <w:t>5.2.5</w:t>
      </w:r>
      <w:r>
        <w:tab/>
        <w:t>Release 1 DCC at the access layer and constraints to the algorithm</w:t>
      </w:r>
      <w:r>
        <w:tab/>
      </w:r>
      <w:r>
        <w:fldChar w:fldCharType="begin"/>
      </w:r>
      <w:r>
        <w:instrText xml:space="preserve"> PAGEREF _Toc197337015 \h </w:instrText>
      </w:r>
      <w:r>
        <w:fldChar w:fldCharType="separate"/>
      </w:r>
      <w:r>
        <w:t>18</w:t>
      </w:r>
      <w:r>
        <w:fldChar w:fldCharType="end"/>
      </w:r>
    </w:p>
    <w:p w14:paraId="27A56320" w14:textId="72C8A408" w:rsidR="006E2E62" w:rsidRDefault="006E2E62">
      <w:pPr>
        <w:pStyle w:val="TOC3"/>
        <w:rPr>
          <w:rFonts w:asciiTheme="minorHAnsi" w:eastAsiaTheme="minorEastAsia" w:hAnsiTheme="minorHAnsi" w:cstheme="minorBidi"/>
          <w:kern w:val="2"/>
          <w:sz w:val="24"/>
          <w:szCs w:val="24"/>
          <w:lang w:eastAsia="en-GB"/>
          <w14:ligatures w14:val="standardContextual"/>
        </w:rPr>
      </w:pPr>
      <w:r>
        <w:t>5.2.6</w:t>
      </w:r>
      <w:r>
        <w:tab/>
        <w:t>Release 1 DCC at the networking &amp; transport layer</w:t>
      </w:r>
      <w:r>
        <w:tab/>
      </w:r>
      <w:r>
        <w:fldChar w:fldCharType="begin"/>
      </w:r>
      <w:r>
        <w:instrText xml:space="preserve"> PAGEREF _Toc197337016 \h </w:instrText>
      </w:r>
      <w:r>
        <w:fldChar w:fldCharType="separate"/>
      </w:r>
      <w:r>
        <w:t>18</w:t>
      </w:r>
      <w:r>
        <w:fldChar w:fldCharType="end"/>
      </w:r>
    </w:p>
    <w:p w14:paraId="0ED8797A" w14:textId="118AF4C9" w:rsidR="006E2E62" w:rsidRDefault="006E2E62">
      <w:pPr>
        <w:pStyle w:val="TOC3"/>
        <w:rPr>
          <w:rFonts w:asciiTheme="minorHAnsi" w:eastAsiaTheme="minorEastAsia" w:hAnsiTheme="minorHAnsi" w:cstheme="minorBidi"/>
          <w:kern w:val="2"/>
          <w:sz w:val="24"/>
          <w:szCs w:val="24"/>
          <w:lang w:eastAsia="en-GB"/>
          <w14:ligatures w14:val="standardContextual"/>
        </w:rPr>
      </w:pPr>
      <w:r>
        <w:t>5.2.7</w:t>
      </w:r>
      <w:r>
        <w:tab/>
        <w:t>Release 1 DCC at the facilities layer</w:t>
      </w:r>
      <w:r>
        <w:tab/>
      </w:r>
      <w:r>
        <w:fldChar w:fldCharType="begin"/>
      </w:r>
      <w:r>
        <w:instrText xml:space="preserve"> PAGEREF _Toc197337017 \h </w:instrText>
      </w:r>
      <w:r>
        <w:fldChar w:fldCharType="separate"/>
      </w:r>
      <w:r>
        <w:t>19</w:t>
      </w:r>
      <w:r>
        <w:fldChar w:fldCharType="end"/>
      </w:r>
    </w:p>
    <w:p w14:paraId="21B8EF4D" w14:textId="541877DE" w:rsidR="006E2E62" w:rsidRDefault="006E2E62">
      <w:pPr>
        <w:pStyle w:val="TOC2"/>
        <w:rPr>
          <w:rFonts w:asciiTheme="minorHAnsi" w:eastAsiaTheme="minorEastAsia" w:hAnsiTheme="minorHAnsi" w:cstheme="minorBidi"/>
          <w:kern w:val="2"/>
          <w:sz w:val="24"/>
          <w:szCs w:val="24"/>
          <w:lang w:eastAsia="en-GB"/>
          <w14:ligatures w14:val="standardContextual"/>
        </w:rPr>
      </w:pPr>
      <w:r>
        <w:t>5.3</w:t>
      </w:r>
      <w:r>
        <w:tab/>
        <w:t>Critical analysis of Release 1 DCC</w:t>
      </w:r>
      <w:r>
        <w:tab/>
      </w:r>
      <w:r>
        <w:fldChar w:fldCharType="begin"/>
      </w:r>
      <w:r>
        <w:instrText xml:space="preserve"> PAGEREF _Toc197337018 \h </w:instrText>
      </w:r>
      <w:r>
        <w:fldChar w:fldCharType="separate"/>
      </w:r>
      <w:r>
        <w:t>19</w:t>
      </w:r>
      <w:r>
        <w:fldChar w:fldCharType="end"/>
      </w:r>
    </w:p>
    <w:p w14:paraId="4EC1165E" w14:textId="132D5B60" w:rsidR="006E2E62" w:rsidRDefault="006E2E62">
      <w:pPr>
        <w:pStyle w:val="TOC3"/>
        <w:rPr>
          <w:rFonts w:asciiTheme="minorHAnsi" w:eastAsiaTheme="minorEastAsia" w:hAnsiTheme="minorHAnsi" w:cstheme="minorBidi"/>
          <w:kern w:val="2"/>
          <w:sz w:val="24"/>
          <w:szCs w:val="24"/>
          <w:lang w:eastAsia="en-GB"/>
          <w14:ligatures w14:val="standardContextual"/>
        </w:rPr>
      </w:pPr>
      <w:r>
        <w:t>5.3.1</w:t>
      </w:r>
      <w:r>
        <w:tab/>
        <w:t>Introduction</w:t>
      </w:r>
      <w:r>
        <w:tab/>
      </w:r>
      <w:r>
        <w:fldChar w:fldCharType="begin"/>
      </w:r>
      <w:r>
        <w:instrText xml:space="preserve"> PAGEREF _Toc197337019 \h </w:instrText>
      </w:r>
      <w:r>
        <w:fldChar w:fldCharType="separate"/>
      </w:r>
      <w:r>
        <w:t>19</w:t>
      </w:r>
      <w:r>
        <w:fldChar w:fldCharType="end"/>
      </w:r>
    </w:p>
    <w:p w14:paraId="6083F33B" w14:textId="5058114C" w:rsidR="006E2E62" w:rsidRDefault="006E2E62">
      <w:pPr>
        <w:pStyle w:val="TOC3"/>
        <w:rPr>
          <w:rFonts w:asciiTheme="minorHAnsi" w:eastAsiaTheme="minorEastAsia" w:hAnsiTheme="minorHAnsi" w:cstheme="minorBidi"/>
          <w:kern w:val="2"/>
          <w:sz w:val="24"/>
          <w:szCs w:val="24"/>
          <w:lang w:eastAsia="en-GB"/>
          <w14:ligatures w14:val="standardContextual"/>
        </w:rPr>
      </w:pPr>
      <w:r>
        <w:t>5.3.2</w:t>
      </w:r>
      <w:r>
        <w:tab/>
        <w:t>Analysis of the limit</w:t>
      </w:r>
      <w:r>
        <w:tab/>
      </w:r>
      <w:r>
        <w:fldChar w:fldCharType="begin"/>
      </w:r>
      <w:r>
        <w:instrText xml:space="preserve"> PAGEREF _Toc197337020 \h </w:instrText>
      </w:r>
      <w:r>
        <w:fldChar w:fldCharType="separate"/>
      </w:r>
      <w:r>
        <w:t>19</w:t>
      </w:r>
      <w:r>
        <w:fldChar w:fldCharType="end"/>
      </w:r>
    </w:p>
    <w:p w14:paraId="41170B88" w14:textId="4D197EC6" w:rsidR="006E2E62" w:rsidRDefault="006E2E62">
      <w:pPr>
        <w:pStyle w:val="TOC3"/>
        <w:rPr>
          <w:rFonts w:asciiTheme="minorHAnsi" w:eastAsiaTheme="minorEastAsia" w:hAnsiTheme="minorHAnsi" w:cstheme="minorBidi"/>
          <w:kern w:val="2"/>
          <w:sz w:val="24"/>
          <w:szCs w:val="24"/>
          <w:lang w:eastAsia="en-GB"/>
          <w14:ligatures w14:val="standardContextual"/>
        </w:rPr>
      </w:pPr>
      <w:r>
        <w:t>5.3.3</w:t>
      </w:r>
      <w:r>
        <w:tab/>
        <w:t>Analysis of algorithms</w:t>
      </w:r>
      <w:r>
        <w:tab/>
      </w:r>
      <w:r>
        <w:fldChar w:fldCharType="begin"/>
      </w:r>
      <w:r>
        <w:instrText xml:space="preserve"> PAGEREF _Toc197337021 \h </w:instrText>
      </w:r>
      <w:r>
        <w:fldChar w:fldCharType="separate"/>
      </w:r>
      <w:r>
        <w:t>22</w:t>
      </w:r>
      <w:r>
        <w:fldChar w:fldCharType="end"/>
      </w:r>
    </w:p>
    <w:p w14:paraId="2C2225DE" w14:textId="2B1E5779" w:rsidR="006E2E62" w:rsidRDefault="006E2E62">
      <w:pPr>
        <w:pStyle w:val="TOC3"/>
        <w:rPr>
          <w:rFonts w:asciiTheme="minorHAnsi" w:eastAsiaTheme="minorEastAsia" w:hAnsiTheme="minorHAnsi" w:cstheme="minorBidi"/>
          <w:kern w:val="2"/>
          <w:sz w:val="24"/>
          <w:szCs w:val="24"/>
          <w:lang w:eastAsia="en-GB"/>
          <w14:ligatures w14:val="standardContextual"/>
        </w:rPr>
      </w:pPr>
      <w:r>
        <w:t>5.3.4</w:t>
      </w:r>
      <w:r>
        <w:tab/>
        <w:t>Analysis of possible variables impacting on congestion control</w:t>
      </w:r>
      <w:r>
        <w:tab/>
      </w:r>
      <w:r>
        <w:fldChar w:fldCharType="begin"/>
      </w:r>
      <w:r>
        <w:instrText xml:space="preserve"> PAGEREF _Toc197337022 \h </w:instrText>
      </w:r>
      <w:r>
        <w:fldChar w:fldCharType="separate"/>
      </w:r>
      <w:r>
        <w:t>24</w:t>
      </w:r>
      <w:r>
        <w:fldChar w:fldCharType="end"/>
      </w:r>
    </w:p>
    <w:p w14:paraId="351377BC" w14:textId="4250BD9B" w:rsidR="006E2E62" w:rsidRDefault="006E2E62">
      <w:pPr>
        <w:pStyle w:val="TOC2"/>
        <w:rPr>
          <w:rFonts w:asciiTheme="minorHAnsi" w:eastAsiaTheme="minorEastAsia" w:hAnsiTheme="minorHAnsi" w:cstheme="minorBidi"/>
          <w:kern w:val="2"/>
          <w:sz w:val="24"/>
          <w:szCs w:val="24"/>
          <w:lang w:eastAsia="en-GB"/>
          <w14:ligatures w14:val="standardContextual"/>
        </w:rPr>
      </w:pPr>
      <w:r>
        <w:t>5.4</w:t>
      </w:r>
      <w:r>
        <w:tab/>
        <w:t>Interference from adjacent channels</w:t>
      </w:r>
      <w:r>
        <w:tab/>
      </w:r>
      <w:r>
        <w:fldChar w:fldCharType="begin"/>
      </w:r>
      <w:r>
        <w:instrText xml:space="preserve"> PAGEREF _Toc197337023 \h </w:instrText>
      </w:r>
      <w:r>
        <w:fldChar w:fldCharType="separate"/>
      </w:r>
      <w:r>
        <w:t>25</w:t>
      </w:r>
      <w:r>
        <w:fldChar w:fldCharType="end"/>
      </w:r>
    </w:p>
    <w:p w14:paraId="46E54914" w14:textId="424BB17A" w:rsidR="006E2E62" w:rsidRDefault="006E2E62">
      <w:pPr>
        <w:pStyle w:val="TOC3"/>
        <w:rPr>
          <w:rFonts w:asciiTheme="minorHAnsi" w:eastAsiaTheme="minorEastAsia" w:hAnsiTheme="minorHAnsi" w:cstheme="minorBidi"/>
          <w:kern w:val="2"/>
          <w:sz w:val="24"/>
          <w:szCs w:val="24"/>
          <w:lang w:eastAsia="en-GB"/>
          <w14:ligatures w14:val="standardContextual"/>
        </w:rPr>
      </w:pPr>
      <w:r>
        <w:t>5.4.1</w:t>
      </w:r>
      <w:r>
        <w:tab/>
        <w:t>Introduction</w:t>
      </w:r>
      <w:r>
        <w:tab/>
      </w:r>
      <w:r>
        <w:fldChar w:fldCharType="begin"/>
      </w:r>
      <w:r>
        <w:instrText xml:space="preserve"> PAGEREF _Toc197337024 \h </w:instrText>
      </w:r>
      <w:r>
        <w:fldChar w:fldCharType="separate"/>
      </w:r>
      <w:r>
        <w:t>25</w:t>
      </w:r>
      <w:r>
        <w:fldChar w:fldCharType="end"/>
      </w:r>
    </w:p>
    <w:p w14:paraId="65315FAD" w14:textId="3B0C5739" w:rsidR="006E2E62" w:rsidRDefault="006E2E62">
      <w:pPr>
        <w:pStyle w:val="TOC3"/>
        <w:rPr>
          <w:rFonts w:asciiTheme="minorHAnsi" w:eastAsiaTheme="minorEastAsia" w:hAnsiTheme="minorHAnsi" w:cstheme="minorBidi"/>
          <w:kern w:val="2"/>
          <w:sz w:val="24"/>
          <w:szCs w:val="24"/>
          <w:lang w:eastAsia="en-GB"/>
          <w14:ligatures w14:val="standardContextual"/>
        </w:rPr>
      </w:pPr>
      <w:r>
        <w:t>5.4.2</w:t>
      </w:r>
      <w:r>
        <w:tab/>
        <w:t>Impact of interference from interoperable C-ITS in adjacent channels</w:t>
      </w:r>
      <w:r>
        <w:tab/>
      </w:r>
      <w:r>
        <w:fldChar w:fldCharType="begin"/>
      </w:r>
      <w:r>
        <w:instrText xml:space="preserve"> PAGEREF _Toc197337025 \h </w:instrText>
      </w:r>
      <w:r>
        <w:fldChar w:fldCharType="separate"/>
      </w:r>
      <w:r>
        <w:t>26</w:t>
      </w:r>
      <w:r>
        <w:fldChar w:fldCharType="end"/>
      </w:r>
    </w:p>
    <w:p w14:paraId="323060C4" w14:textId="1F738A49" w:rsidR="006E2E62" w:rsidRDefault="006E2E62">
      <w:pPr>
        <w:pStyle w:val="TOC3"/>
        <w:rPr>
          <w:rFonts w:asciiTheme="minorHAnsi" w:eastAsiaTheme="minorEastAsia" w:hAnsiTheme="minorHAnsi" w:cstheme="minorBidi"/>
          <w:kern w:val="2"/>
          <w:sz w:val="24"/>
          <w:szCs w:val="24"/>
          <w:lang w:eastAsia="en-GB"/>
          <w14:ligatures w14:val="standardContextual"/>
        </w:rPr>
      </w:pPr>
      <w:r>
        <w:t>5.4.3</w:t>
      </w:r>
      <w:r>
        <w:tab/>
        <w:t>Adjacent channel monitoring</w:t>
      </w:r>
      <w:r>
        <w:tab/>
      </w:r>
      <w:r>
        <w:fldChar w:fldCharType="begin"/>
      </w:r>
      <w:r>
        <w:instrText xml:space="preserve"> PAGEREF _Toc197337026 \h </w:instrText>
      </w:r>
      <w:r>
        <w:fldChar w:fldCharType="separate"/>
      </w:r>
      <w:r>
        <w:t>27</w:t>
      </w:r>
      <w:r>
        <w:fldChar w:fldCharType="end"/>
      </w:r>
    </w:p>
    <w:p w14:paraId="04FD0EC8" w14:textId="238752A0" w:rsidR="006E2E62" w:rsidRDefault="006E2E62">
      <w:pPr>
        <w:pStyle w:val="TOC3"/>
        <w:rPr>
          <w:rFonts w:asciiTheme="minorHAnsi" w:eastAsiaTheme="minorEastAsia" w:hAnsiTheme="minorHAnsi" w:cstheme="minorBidi"/>
          <w:kern w:val="2"/>
          <w:sz w:val="24"/>
          <w:szCs w:val="24"/>
          <w:lang w:eastAsia="en-GB"/>
          <w14:ligatures w14:val="standardContextual"/>
        </w:rPr>
      </w:pPr>
      <w:r>
        <w:t>5.4.4</w:t>
      </w:r>
      <w:r>
        <w:tab/>
        <w:t>Cross-channel RRM control</w:t>
      </w:r>
      <w:r>
        <w:tab/>
      </w:r>
      <w:r>
        <w:fldChar w:fldCharType="begin"/>
      </w:r>
      <w:r>
        <w:instrText xml:space="preserve"> PAGEREF _Toc197337027 \h </w:instrText>
      </w:r>
      <w:r>
        <w:fldChar w:fldCharType="separate"/>
      </w:r>
      <w:r>
        <w:t>27</w:t>
      </w:r>
      <w:r>
        <w:fldChar w:fldCharType="end"/>
      </w:r>
    </w:p>
    <w:p w14:paraId="7B2CBE62" w14:textId="1B8FA215" w:rsidR="006E2E62" w:rsidRDefault="006E2E62">
      <w:pPr>
        <w:pStyle w:val="TOC2"/>
        <w:rPr>
          <w:rFonts w:asciiTheme="minorHAnsi" w:eastAsiaTheme="minorEastAsia" w:hAnsiTheme="minorHAnsi" w:cstheme="minorBidi"/>
          <w:kern w:val="2"/>
          <w:sz w:val="24"/>
          <w:szCs w:val="24"/>
          <w:lang w:eastAsia="en-GB"/>
          <w14:ligatures w14:val="standardContextual"/>
        </w:rPr>
      </w:pPr>
      <w:r>
        <w:t>5.5</w:t>
      </w:r>
      <w:r>
        <w:tab/>
        <w:t>Modifications required and suggested towards Release 2</w:t>
      </w:r>
      <w:r>
        <w:tab/>
      </w:r>
      <w:r>
        <w:fldChar w:fldCharType="begin"/>
      </w:r>
      <w:r>
        <w:instrText xml:space="preserve"> PAGEREF _Toc197337028 \h </w:instrText>
      </w:r>
      <w:r>
        <w:fldChar w:fldCharType="separate"/>
      </w:r>
      <w:r>
        <w:t>27</w:t>
      </w:r>
      <w:r>
        <w:fldChar w:fldCharType="end"/>
      </w:r>
    </w:p>
    <w:p w14:paraId="7E90AA7C" w14:textId="7597D781" w:rsidR="006E2E62" w:rsidRDefault="006E2E62">
      <w:pPr>
        <w:pStyle w:val="TOC3"/>
        <w:rPr>
          <w:rFonts w:asciiTheme="minorHAnsi" w:eastAsiaTheme="minorEastAsia" w:hAnsiTheme="minorHAnsi" w:cstheme="minorBidi"/>
          <w:kern w:val="2"/>
          <w:sz w:val="24"/>
          <w:szCs w:val="24"/>
          <w:lang w:eastAsia="en-GB"/>
          <w14:ligatures w14:val="standardContextual"/>
        </w:rPr>
      </w:pPr>
      <w:r>
        <w:t>5.5.1</w:t>
      </w:r>
      <w:r>
        <w:tab/>
        <w:t>Introduction</w:t>
      </w:r>
      <w:r>
        <w:tab/>
      </w:r>
      <w:r>
        <w:fldChar w:fldCharType="begin"/>
      </w:r>
      <w:r>
        <w:instrText xml:space="preserve"> PAGEREF _Toc197337029 \h </w:instrText>
      </w:r>
      <w:r>
        <w:fldChar w:fldCharType="separate"/>
      </w:r>
      <w:r>
        <w:t>27</w:t>
      </w:r>
      <w:r>
        <w:fldChar w:fldCharType="end"/>
      </w:r>
    </w:p>
    <w:p w14:paraId="0EE9650A" w14:textId="30321ACA" w:rsidR="006E2E62" w:rsidRDefault="006E2E62">
      <w:pPr>
        <w:pStyle w:val="TOC3"/>
        <w:rPr>
          <w:rFonts w:asciiTheme="minorHAnsi" w:eastAsiaTheme="minorEastAsia" w:hAnsiTheme="minorHAnsi" w:cstheme="minorBidi"/>
          <w:kern w:val="2"/>
          <w:sz w:val="24"/>
          <w:szCs w:val="24"/>
          <w:lang w:eastAsia="en-GB"/>
          <w14:ligatures w14:val="standardContextual"/>
        </w:rPr>
      </w:pPr>
      <w:r>
        <w:t>5.5.2</w:t>
      </w:r>
      <w:r>
        <w:tab/>
        <w:t>Congestion control in Release 2</w:t>
      </w:r>
      <w:r>
        <w:tab/>
      </w:r>
      <w:r>
        <w:fldChar w:fldCharType="begin"/>
      </w:r>
      <w:r>
        <w:instrText xml:space="preserve"> PAGEREF _Toc197337030 \h </w:instrText>
      </w:r>
      <w:r>
        <w:fldChar w:fldCharType="separate"/>
      </w:r>
      <w:r>
        <w:t>28</w:t>
      </w:r>
      <w:r>
        <w:fldChar w:fldCharType="end"/>
      </w:r>
    </w:p>
    <w:p w14:paraId="2AD5EC34" w14:textId="1632F478" w:rsidR="006E2E62" w:rsidRDefault="006E2E62">
      <w:pPr>
        <w:pStyle w:val="TOC3"/>
        <w:rPr>
          <w:rFonts w:asciiTheme="minorHAnsi" w:eastAsiaTheme="minorEastAsia" w:hAnsiTheme="minorHAnsi" w:cstheme="minorBidi"/>
          <w:kern w:val="2"/>
          <w:sz w:val="24"/>
          <w:szCs w:val="24"/>
          <w:lang w:eastAsia="en-GB"/>
          <w14:ligatures w14:val="standardContextual"/>
        </w:rPr>
      </w:pPr>
      <w:r>
        <w:t>5.5.3</w:t>
      </w:r>
      <w:r>
        <w:tab/>
        <w:t>Resources at the facilities layer</w:t>
      </w:r>
      <w:r>
        <w:tab/>
      </w:r>
      <w:r>
        <w:fldChar w:fldCharType="begin"/>
      </w:r>
      <w:r>
        <w:instrText xml:space="preserve"> PAGEREF _Toc197337031 \h </w:instrText>
      </w:r>
      <w:r>
        <w:fldChar w:fldCharType="separate"/>
      </w:r>
      <w:r>
        <w:t>28</w:t>
      </w:r>
      <w:r>
        <w:fldChar w:fldCharType="end"/>
      </w:r>
    </w:p>
    <w:p w14:paraId="6BD349E0" w14:textId="3F74032F" w:rsidR="006E2E62" w:rsidRDefault="006E2E62">
      <w:pPr>
        <w:pStyle w:val="TOC3"/>
        <w:rPr>
          <w:rFonts w:asciiTheme="minorHAnsi" w:eastAsiaTheme="minorEastAsia" w:hAnsiTheme="minorHAnsi" w:cstheme="minorBidi"/>
          <w:kern w:val="2"/>
          <w:sz w:val="24"/>
          <w:szCs w:val="24"/>
          <w:lang w:eastAsia="en-GB"/>
          <w14:ligatures w14:val="standardContextual"/>
        </w:rPr>
      </w:pPr>
      <w:r>
        <w:t>5.5.4</w:t>
      </w:r>
      <w:r>
        <w:tab/>
        <w:t>Introducing a mechanism for the update of parameters</w:t>
      </w:r>
      <w:r>
        <w:tab/>
      </w:r>
      <w:r>
        <w:fldChar w:fldCharType="begin"/>
      </w:r>
      <w:r>
        <w:instrText xml:space="preserve"> PAGEREF _Toc197337032 \h </w:instrText>
      </w:r>
      <w:r>
        <w:fldChar w:fldCharType="separate"/>
      </w:r>
      <w:r>
        <w:t>29</w:t>
      </w:r>
      <w:r>
        <w:fldChar w:fldCharType="end"/>
      </w:r>
    </w:p>
    <w:p w14:paraId="23C5FF0D" w14:textId="6656F468" w:rsidR="006E2E62" w:rsidRDefault="006E2E62">
      <w:pPr>
        <w:pStyle w:val="TOC1"/>
        <w:rPr>
          <w:rFonts w:asciiTheme="minorHAnsi" w:eastAsiaTheme="minorEastAsia" w:hAnsiTheme="minorHAnsi" w:cstheme="minorBidi"/>
          <w:kern w:val="2"/>
          <w:sz w:val="24"/>
          <w:szCs w:val="24"/>
          <w:lang w:eastAsia="en-GB"/>
          <w14:ligatures w14:val="standardContextual"/>
        </w:rPr>
      </w:pPr>
      <w:r>
        <w:t>6</w:t>
      </w:r>
      <w:r>
        <w:tab/>
        <w:t>Application Requirements</w:t>
      </w:r>
      <w:r>
        <w:tab/>
      </w:r>
      <w:r>
        <w:fldChar w:fldCharType="begin"/>
      </w:r>
      <w:r>
        <w:instrText xml:space="preserve"> PAGEREF _Toc197337033 \h </w:instrText>
      </w:r>
      <w:r>
        <w:fldChar w:fldCharType="separate"/>
      </w:r>
      <w:r>
        <w:t>29</w:t>
      </w:r>
      <w:r>
        <w:fldChar w:fldCharType="end"/>
      </w:r>
    </w:p>
    <w:p w14:paraId="7DD6661E" w14:textId="6AFE10BA" w:rsidR="006E2E62" w:rsidRDefault="006E2E62">
      <w:pPr>
        <w:pStyle w:val="TOC2"/>
        <w:rPr>
          <w:rFonts w:asciiTheme="minorHAnsi" w:eastAsiaTheme="minorEastAsia" w:hAnsiTheme="minorHAnsi" w:cstheme="minorBidi"/>
          <w:kern w:val="2"/>
          <w:sz w:val="24"/>
          <w:szCs w:val="24"/>
          <w:lang w:eastAsia="en-GB"/>
          <w14:ligatures w14:val="standardContextual"/>
        </w:rPr>
      </w:pPr>
      <w:r>
        <w:t>6.1</w:t>
      </w:r>
      <w:r>
        <w:tab/>
        <w:t>Introduction</w:t>
      </w:r>
      <w:r>
        <w:tab/>
      </w:r>
      <w:r>
        <w:fldChar w:fldCharType="begin"/>
      </w:r>
      <w:r>
        <w:instrText xml:space="preserve"> PAGEREF _Toc197337034 \h </w:instrText>
      </w:r>
      <w:r>
        <w:fldChar w:fldCharType="separate"/>
      </w:r>
      <w:r>
        <w:t>29</w:t>
      </w:r>
      <w:r>
        <w:fldChar w:fldCharType="end"/>
      </w:r>
    </w:p>
    <w:p w14:paraId="25188948" w14:textId="0A131D3C" w:rsidR="006E2E62" w:rsidRDefault="006E2E62">
      <w:pPr>
        <w:pStyle w:val="TOC2"/>
        <w:rPr>
          <w:rFonts w:asciiTheme="minorHAnsi" w:eastAsiaTheme="minorEastAsia" w:hAnsiTheme="minorHAnsi" w:cstheme="minorBidi"/>
          <w:kern w:val="2"/>
          <w:sz w:val="24"/>
          <w:szCs w:val="24"/>
          <w:lang w:eastAsia="en-GB"/>
          <w14:ligatures w14:val="standardContextual"/>
        </w:rPr>
      </w:pPr>
      <w:r>
        <w:t>6.2</w:t>
      </w:r>
      <w:r>
        <w:tab/>
        <w:t>Applications and ITS-S services</w:t>
      </w:r>
      <w:r>
        <w:tab/>
      </w:r>
      <w:r>
        <w:fldChar w:fldCharType="begin"/>
      </w:r>
      <w:r>
        <w:instrText xml:space="preserve"> PAGEREF _Toc197337035 \h </w:instrText>
      </w:r>
      <w:r>
        <w:fldChar w:fldCharType="separate"/>
      </w:r>
      <w:r>
        <w:t>30</w:t>
      </w:r>
      <w:r>
        <w:fldChar w:fldCharType="end"/>
      </w:r>
    </w:p>
    <w:p w14:paraId="395756B7" w14:textId="7F9C2EF7" w:rsidR="006E2E62" w:rsidRDefault="006E2E62">
      <w:pPr>
        <w:pStyle w:val="TOC3"/>
        <w:rPr>
          <w:rFonts w:asciiTheme="minorHAnsi" w:eastAsiaTheme="minorEastAsia" w:hAnsiTheme="minorHAnsi" w:cstheme="minorBidi"/>
          <w:kern w:val="2"/>
          <w:sz w:val="24"/>
          <w:szCs w:val="24"/>
          <w:lang w:eastAsia="en-GB"/>
          <w14:ligatures w14:val="standardContextual"/>
        </w:rPr>
      </w:pPr>
      <w:r>
        <w:t>6.2.1</w:t>
      </w:r>
      <w:r>
        <w:tab/>
        <w:t>Introduction</w:t>
      </w:r>
      <w:r>
        <w:tab/>
      </w:r>
      <w:r>
        <w:fldChar w:fldCharType="begin"/>
      </w:r>
      <w:r>
        <w:instrText xml:space="preserve"> PAGEREF _Toc197337036 \h </w:instrText>
      </w:r>
      <w:r>
        <w:fldChar w:fldCharType="separate"/>
      </w:r>
      <w:r>
        <w:t>30</w:t>
      </w:r>
      <w:r>
        <w:fldChar w:fldCharType="end"/>
      </w:r>
    </w:p>
    <w:p w14:paraId="66A66FDD" w14:textId="60174F1C" w:rsidR="006E2E62" w:rsidRDefault="006E2E62">
      <w:pPr>
        <w:pStyle w:val="TOC3"/>
        <w:rPr>
          <w:rFonts w:asciiTheme="minorHAnsi" w:eastAsiaTheme="minorEastAsia" w:hAnsiTheme="minorHAnsi" w:cstheme="minorBidi"/>
          <w:kern w:val="2"/>
          <w:sz w:val="24"/>
          <w:szCs w:val="24"/>
          <w:lang w:eastAsia="en-GB"/>
          <w14:ligatures w14:val="standardContextual"/>
        </w:rPr>
      </w:pPr>
      <w:r>
        <w:t>6.2.2</w:t>
      </w:r>
      <w:r>
        <w:tab/>
        <w:t>Decentralized Environmental Notification (DEN) Message</w:t>
      </w:r>
      <w:r>
        <w:tab/>
      </w:r>
      <w:r>
        <w:fldChar w:fldCharType="begin"/>
      </w:r>
      <w:r>
        <w:instrText xml:space="preserve"> PAGEREF _Toc197337037 \h </w:instrText>
      </w:r>
      <w:r>
        <w:fldChar w:fldCharType="separate"/>
      </w:r>
      <w:r>
        <w:t>31</w:t>
      </w:r>
      <w:r>
        <w:fldChar w:fldCharType="end"/>
      </w:r>
    </w:p>
    <w:p w14:paraId="1A1E52C5" w14:textId="42F27513" w:rsidR="006E2E62" w:rsidRDefault="006E2E62">
      <w:pPr>
        <w:pStyle w:val="TOC3"/>
        <w:rPr>
          <w:rFonts w:asciiTheme="minorHAnsi" w:eastAsiaTheme="minorEastAsia" w:hAnsiTheme="minorHAnsi" w:cstheme="minorBidi"/>
          <w:kern w:val="2"/>
          <w:sz w:val="24"/>
          <w:szCs w:val="24"/>
          <w:lang w:eastAsia="en-GB"/>
          <w14:ligatures w14:val="standardContextual"/>
        </w:rPr>
      </w:pPr>
      <w:r>
        <w:t>6.2.3</w:t>
      </w:r>
      <w:r>
        <w:tab/>
        <w:t>Cooperative Awareness (CA) Message</w:t>
      </w:r>
      <w:r>
        <w:tab/>
      </w:r>
      <w:r>
        <w:fldChar w:fldCharType="begin"/>
      </w:r>
      <w:r>
        <w:instrText xml:space="preserve"> PAGEREF _Toc197337038 \h </w:instrText>
      </w:r>
      <w:r>
        <w:fldChar w:fldCharType="separate"/>
      </w:r>
      <w:r>
        <w:t>32</w:t>
      </w:r>
      <w:r>
        <w:fldChar w:fldCharType="end"/>
      </w:r>
    </w:p>
    <w:p w14:paraId="185A0F1C" w14:textId="7AA4ED39" w:rsidR="006E2E62" w:rsidRDefault="006E2E62">
      <w:pPr>
        <w:pStyle w:val="TOC3"/>
        <w:rPr>
          <w:rFonts w:asciiTheme="minorHAnsi" w:eastAsiaTheme="minorEastAsia" w:hAnsiTheme="minorHAnsi" w:cstheme="minorBidi"/>
          <w:kern w:val="2"/>
          <w:sz w:val="24"/>
          <w:szCs w:val="24"/>
          <w:lang w:eastAsia="en-GB"/>
          <w14:ligatures w14:val="standardContextual"/>
        </w:rPr>
      </w:pPr>
      <w:r>
        <w:t>6.2.4</w:t>
      </w:r>
      <w:r>
        <w:tab/>
        <w:t>Collective Perception (CP) Message</w:t>
      </w:r>
      <w:r>
        <w:tab/>
      </w:r>
      <w:r>
        <w:fldChar w:fldCharType="begin"/>
      </w:r>
      <w:r>
        <w:instrText xml:space="preserve"> PAGEREF _Toc197337039 \h </w:instrText>
      </w:r>
      <w:r>
        <w:fldChar w:fldCharType="separate"/>
      </w:r>
      <w:r>
        <w:t>33</w:t>
      </w:r>
      <w:r>
        <w:fldChar w:fldCharType="end"/>
      </w:r>
    </w:p>
    <w:p w14:paraId="520259D8" w14:textId="6507697F" w:rsidR="006E2E62" w:rsidRDefault="006E2E62">
      <w:pPr>
        <w:pStyle w:val="TOC3"/>
        <w:rPr>
          <w:rFonts w:asciiTheme="minorHAnsi" w:eastAsiaTheme="minorEastAsia" w:hAnsiTheme="minorHAnsi" w:cstheme="minorBidi"/>
          <w:kern w:val="2"/>
          <w:sz w:val="24"/>
          <w:szCs w:val="24"/>
          <w:lang w:eastAsia="en-GB"/>
          <w14:ligatures w14:val="standardContextual"/>
        </w:rPr>
      </w:pPr>
      <w:r>
        <w:t>6.2.5</w:t>
      </w:r>
      <w:r>
        <w:tab/>
        <w:t>MIM and MVM</w:t>
      </w:r>
      <w:r>
        <w:tab/>
      </w:r>
      <w:r>
        <w:fldChar w:fldCharType="begin"/>
      </w:r>
      <w:r>
        <w:instrText xml:space="preserve"> PAGEREF _Toc197337040 \h </w:instrText>
      </w:r>
      <w:r>
        <w:fldChar w:fldCharType="separate"/>
      </w:r>
      <w:r>
        <w:t>33</w:t>
      </w:r>
      <w:r>
        <w:fldChar w:fldCharType="end"/>
      </w:r>
    </w:p>
    <w:p w14:paraId="3F3DA7E8" w14:textId="1FF7E136" w:rsidR="006E2E62" w:rsidRDefault="006E2E62">
      <w:pPr>
        <w:pStyle w:val="TOC3"/>
        <w:rPr>
          <w:rFonts w:asciiTheme="minorHAnsi" w:eastAsiaTheme="minorEastAsia" w:hAnsiTheme="minorHAnsi" w:cstheme="minorBidi"/>
          <w:kern w:val="2"/>
          <w:sz w:val="24"/>
          <w:szCs w:val="24"/>
          <w:lang w:eastAsia="en-GB"/>
          <w14:ligatures w14:val="standardContextual"/>
        </w:rPr>
      </w:pPr>
      <w:r>
        <w:t>6.2.6</w:t>
      </w:r>
      <w:r>
        <w:tab/>
        <w:t>Signal Phase and Timing Message (SPATEM)</w:t>
      </w:r>
      <w:r>
        <w:tab/>
      </w:r>
      <w:r>
        <w:fldChar w:fldCharType="begin"/>
      </w:r>
      <w:r>
        <w:instrText xml:space="preserve"> PAGEREF _Toc197337041 \h </w:instrText>
      </w:r>
      <w:r>
        <w:fldChar w:fldCharType="separate"/>
      </w:r>
      <w:r>
        <w:t>34</w:t>
      </w:r>
      <w:r>
        <w:fldChar w:fldCharType="end"/>
      </w:r>
    </w:p>
    <w:p w14:paraId="3B5F5376" w14:textId="165E12D8" w:rsidR="006E2E62" w:rsidRDefault="006E2E62">
      <w:pPr>
        <w:pStyle w:val="TOC3"/>
        <w:rPr>
          <w:rFonts w:asciiTheme="minorHAnsi" w:eastAsiaTheme="minorEastAsia" w:hAnsiTheme="minorHAnsi" w:cstheme="minorBidi"/>
          <w:kern w:val="2"/>
          <w:sz w:val="24"/>
          <w:szCs w:val="24"/>
          <w:lang w:eastAsia="en-GB"/>
          <w14:ligatures w14:val="standardContextual"/>
        </w:rPr>
      </w:pPr>
      <w:r>
        <w:t>6.2.7</w:t>
      </w:r>
      <w:r>
        <w:tab/>
        <w:t>MAP Message (MAPEM)</w:t>
      </w:r>
      <w:r>
        <w:tab/>
      </w:r>
      <w:r>
        <w:fldChar w:fldCharType="begin"/>
      </w:r>
      <w:r>
        <w:instrText xml:space="preserve"> PAGEREF _Toc197337042 \h </w:instrText>
      </w:r>
      <w:r>
        <w:fldChar w:fldCharType="separate"/>
      </w:r>
      <w:r>
        <w:t>34</w:t>
      </w:r>
      <w:r>
        <w:fldChar w:fldCharType="end"/>
      </w:r>
    </w:p>
    <w:p w14:paraId="5311AA16" w14:textId="7983F260" w:rsidR="006E2E62" w:rsidRDefault="006E2E62">
      <w:pPr>
        <w:pStyle w:val="TOC3"/>
        <w:rPr>
          <w:rFonts w:asciiTheme="minorHAnsi" w:eastAsiaTheme="minorEastAsia" w:hAnsiTheme="minorHAnsi" w:cstheme="minorBidi"/>
          <w:kern w:val="2"/>
          <w:sz w:val="24"/>
          <w:szCs w:val="24"/>
          <w:lang w:eastAsia="en-GB"/>
          <w14:ligatures w14:val="standardContextual"/>
        </w:rPr>
      </w:pPr>
      <w:r>
        <w:t>6.2.8</w:t>
      </w:r>
      <w:r>
        <w:tab/>
        <w:t>In Vehicle Information Message (IVIM)</w:t>
      </w:r>
      <w:r>
        <w:tab/>
      </w:r>
      <w:r>
        <w:fldChar w:fldCharType="begin"/>
      </w:r>
      <w:r>
        <w:instrText xml:space="preserve"> PAGEREF _Toc197337043 \h </w:instrText>
      </w:r>
      <w:r>
        <w:fldChar w:fldCharType="separate"/>
      </w:r>
      <w:r>
        <w:t>34</w:t>
      </w:r>
      <w:r>
        <w:fldChar w:fldCharType="end"/>
      </w:r>
    </w:p>
    <w:p w14:paraId="67B6EE20" w14:textId="1535F507" w:rsidR="006E2E62" w:rsidRDefault="006E2E62">
      <w:pPr>
        <w:pStyle w:val="TOC3"/>
        <w:rPr>
          <w:rFonts w:asciiTheme="minorHAnsi" w:eastAsiaTheme="minorEastAsia" w:hAnsiTheme="minorHAnsi" w:cstheme="minorBidi"/>
          <w:kern w:val="2"/>
          <w:sz w:val="24"/>
          <w:szCs w:val="24"/>
          <w:lang w:eastAsia="en-GB"/>
          <w14:ligatures w14:val="standardContextual"/>
        </w:rPr>
      </w:pPr>
      <w:r>
        <w:t>6.2.9</w:t>
      </w:r>
      <w:r>
        <w:tab/>
        <w:t>Service Announcement Message (SAM)</w:t>
      </w:r>
      <w:r>
        <w:tab/>
      </w:r>
      <w:r>
        <w:fldChar w:fldCharType="begin"/>
      </w:r>
      <w:r>
        <w:instrText xml:space="preserve"> PAGEREF _Toc197337044 \h </w:instrText>
      </w:r>
      <w:r>
        <w:fldChar w:fldCharType="separate"/>
      </w:r>
      <w:r>
        <w:t>34</w:t>
      </w:r>
      <w:r>
        <w:fldChar w:fldCharType="end"/>
      </w:r>
    </w:p>
    <w:p w14:paraId="6FDA1D2F" w14:textId="0171DB08" w:rsidR="006E2E62" w:rsidRDefault="006E2E62">
      <w:pPr>
        <w:pStyle w:val="TOC3"/>
        <w:rPr>
          <w:rFonts w:asciiTheme="minorHAnsi" w:eastAsiaTheme="minorEastAsia" w:hAnsiTheme="minorHAnsi" w:cstheme="minorBidi"/>
          <w:kern w:val="2"/>
          <w:sz w:val="24"/>
          <w:szCs w:val="24"/>
          <w:lang w:eastAsia="en-GB"/>
          <w14:ligatures w14:val="standardContextual"/>
        </w:rPr>
      </w:pPr>
      <w:r>
        <w:t>6.2.10</w:t>
      </w:r>
      <w:r>
        <w:tab/>
        <w:t>Vulnerable Road User Awareness Message (VAM)</w:t>
      </w:r>
      <w:r>
        <w:tab/>
      </w:r>
      <w:r>
        <w:fldChar w:fldCharType="begin"/>
      </w:r>
      <w:r>
        <w:instrText xml:space="preserve"> PAGEREF _Toc197337045 \h </w:instrText>
      </w:r>
      <w:r>
        <w:fldChar w:fldCharType="separate"/>
      </w:r>
      <w:r>
        <w:t>34</w:t>
      </w:r>
      <w:r>
        <w:fldChar w:fldCharType="end"/>
      </w:r>
    </w:p>
    <w:p w14:paraId="1D9E92EE" w14:textId="524BC05F" w:rsidR="006E2E62" w:rsidRDefault="006E2E62">
      <w:pPr>
        <w:pStyle w:val="TOC2"/>
        <w:rPr>
          <w:rFonts w:asciiTheme="minorHAnsi" w:eastAsiaTheme="minorEastAsia" w:hAnsiTheme="minorHAnsi" w:cstheme="minorBidi"/>
          <w:kern w:val="2"/>
          <w:sz w:val="24"/>
          <w:szCs w:val="24"/>
          <w:lang w:eastAsia="en-GB"/>
          <w14:ligatures w14:val="standardContextual"/>
        </w:rPr>
      </w:pPr>
      <w:r>
        <w:t>6.3</w:t>
      </w:r>
      <w:r>
        <w:tab/>
        <w:t>Types of ITS-S services from RM perspective</w:t>
      </w:r>
      <w:r>
        <w:tab/>
      </w:r>
      <w:r>
        <w:fldChar w:fldCharType="begin"/>
      </w:r>
      <w:r>
        <w:instrText xml:space="preserve"> PAGEREF _Toc197337046 \h </w:instrText>
      </w:r>
      <w:r>
        <w:fldChar w:fldCharType="separate"/>
      </w:r>
      <w:r>
        <w:t>34</w:t>
      </w:r>
      <w:r>
        <w:fldChar w:fldCharType="end"/>
      </w:r>
    </w:p>
    <w:p w14:paraId="67777BDE" w14:textId="7AB1E846" w:rsidR="006E2E62" w:rsidRDefault="006E2E62">
      <w:pPr>
        <w:pStyle w:val="TOC2"/>
        <w:rPr>
          <w:rFonts w:asciiTheme="minorHAnsi" w:eastAsiaTheme="minorEastAsia" w:hAnsiTheme="minorHAnsi" w:cstheme="minorBidi"/>
          <w:kern w:val="2"/>
          <w:sz w:val="24"/>
          <w:szCs w:val="24"/>
          <w:lang w:eastAsia="en-GB"/>
          <w14:ligatures w14:val="standardContextual"/>
        </w:rPr>
      </w:pPr>
      <w:r>
        <w:t>6.4</w:t>
      </w:r>
      <w:r>
        <w:tab/>
        <w:t>Heterogeneous resource requirements</w:t>
      </w:r>
      <w:r>
        <w:tab/>
      </w:r>
      <w:r>
        <w:fldChar w:fldCharType="begin"/>
      </w:r>
      <w:r>
        <w:instrText xml:space="preserve"> PAGEREF _Toc197337047 \h </w:instrText>
      </w:r>
      <w:r>
        <w:fldChar w:fldCharType="separate"/>
      </w:r>
      <w:r>
        <w:t>35</w:t>
      </w:r>
      <w:r>
        <w:fldChar w:fldCharType="end"/>
      </w:r>
    </w:p>
    <w:p w14:paraId="6DD7D175" w14:textId="13249A0E" w:rsidR="006E2E62" w:rsidRDefault="006E2E62">
      <w:pPr>
        <w:pStyle w:val="TOC3"/>
        <w:rPr>
          <w:rFonts w:asciiTheme="minorHAnsi" w:eastAsiaTheme="minorEastAsia" w:hAnsiTheme="minorHAnsi" w:cstheme="minorBidi"/>
          <w:kern w:val="2"/>
          <w:sz w:val="24"/>
          <w:szCs w:val="24"/>
          <w:lang w:eastAsia="en-GB"/>
          <w14:ligatures w14:val="standardContextual"/>
        </w:rPr>
      </w:pPr>
      <w:r>
        <w:t>6.4.1</w:t>
      </w:r>
      <w:r>
        <w:tab/>
        <w:t>Same services but different resource needs</w:t>
      </w:r>
      <w:r>
        <w:tab/>
      </w:r>
      <w:r>
        <w:fldChar w:fldCharType="begin"/>
      </w:r>
      <w:r>
        <w:instrText xml:space="preserve"> PAGEREF _Toc197337048 \h </w:instrText>
      </w:r>
      <w:r>
        <w:fldChar w:fldCharType="separate"/>
      </w:r>
      <w:r>
        <w:t>35</w:t>
      </w:r>
      <w:r>
        <w:fldChar w:fldCharType="end"/>
      </w:r>
    </w:p>
    <w:p w14:paraId="0B8B5F3B" w14:textId="3CC189D3" w:rsidR="006E2E62" w:rsidRDefault="006E2E62">
      <w:pPr>
        <w:pStyle w:val="TOC3"/>
        <w:rPr>
          <w:rFonts w:asciiTheme="minorHAnsi" w:eastAsiaTheme="minorEastAsia" w:hAnsiTheme="minorHAnsi" w:cstheme="minorBidi"/>
          <w:kern w:val="2"/>
          <w:sz w:val="24"/>
          <w:szCs w:val="24"/>
          <w:lang w:eastAsia="en-GB"/>
          <w14:ligatures w14:val="standardContextual"/>
        </w:rPr>
      </w:pPr>
      <w:r>
        <w:t>6.4.2</w:t>
      </w:r>
      <w:r>
        <w:tab/>
        <w:t>Different releases with different needs</w:t>
      </w:r>
      <w:r>
        <w:tab/>
      </w:r>
      <w:r>
        <w:fldChar w:fldCharType="begin"/>
      </w:r>
      <w:r>
        <w:instrText xml:space="preserve"> PAGEREF _Toc197337049 \h </w:instrText>
      </w:r>
      <w:r>
        <w:fldChar w:fldCharType="separate"/>
      </w:r>
      <w:r>
        <w:t>36</w:t>
      </w:r>
      <w:r>
        <w:fldChar w:fldCharType="end"/>
      </w:r>
    </w:p>
    <w:p w14:paraId="7CD1194C" w14:textId="3C7DAB21" w:rsidR="006E2E62" w:rsidRDefault="006E2E62">
      <w:pPr>
        <w:pStyle w:val="TOC2"/>
        <w:rPr>
          <w:rFonts w:asciiTheme="minorHAnsi" w:eastAsiaTheme="minorEastAsia" w:hAnsiTheme="minorHAnsi" w:cstheme="minorBidi"/>
          <w:kern w:val="2"/>
          <w:sz w:val="24"/>
          <w:szCs w:val="24"/>
          <w:lang w:eastAsia="en-GB"/>
          <w14:ligatures w14:val="standardContextual"/>
        </w:rPr>
      </w:pPr>
      <w:r>
        <w:t>6.5</w:t>
      </w:r>
      <w:r>
        <w:tab/>
        <w:t>Indications to ITS-S services</w:t>
      </w:r>
      <w:r>
        <w:tab/>
      </w:r>
      <w:r>
        <w:fldChar w:fldCharType="begin"/>
      </w:r>
      <w:r>
        <w:instrText xml:space="preserve"> PAGEREF _Toc197337050 \h </w:instrText>
      </w:r>
      <w:r>
        <w:fldChar w:fldCharType="separate"/>
      </w:r>
      <w:r>
        <w:t>36</w:t>
      </w:r>
      <w:r>
        <w:fldChar w:fldCharType="end"/>
      </w:r>
    </w:p>
    <w:p w14:paraId="7CC461A8" w14:textId="608A2DE8" w:rsidR="006E2E62" w:rsidRDefault="006E2E62">
      <w:pPr>
        <w:pStyle w:val="TOC1"/>
        <w:rPr>
          <w:rFonts w:asciiTheme="minorHAnsi" w:eastAsiaTheme="minorEastAsia" w:hAnsiTheme="minorHAnsi" w:cstheme="minorBidi"/>
          <w:kern w:val="2"/>
          <w:sz w:val="24"/>
          <w:szCs w:val="24"/>
          <w:lang w:eastAsia="en-GB"/>
          <w14:ligatures w14:val="standardContextual"/>
        </w:rPr>
      </w:pPr>
      <w:r>
        <w:t>7</w:t>
      </w:r>
      <w:r>
        <w:tab/>
        <w:t>Resource Management concepts</w:t>
      </w:r>
      <w:r>
        <w:tab/>
      </w:r>
      <w:r>
        <w:fldChar w:fldCharType="begin"/>
      </w:r>
      <w:r>
        <w:instrText xml:space="preserve"> PAGEREF _Toc197337051 \h </w:instrText>
      </w:r>
      <w:r>
        <w:fldChar w:fldCharType="separate"/>
      </w:r>
      <w:r>
        <w:t>36</w:t>
      </w:r>
      <w:r>
        <w:fldChar w:fldCharType="end"/>
      </w:r>
    </w:p>
    <w:p w14:paraId="14E35D33" w14:textId="5E0F930A" w:rsidR="006E2E62" w:rsidRDefault="006E2E62">
      <w:pPr>
        <w:pStyle w:val="TOC2"/>
        <w:rPr>
          <w:rFonts w:asciiTheme="minorHAnsi" w:eastAsiaTheme="minorEastAsia" w:hAnsiTheme="minorHAnsi" w:cstheme="minorBidi"/>
          <w:kern w:val="2"/>
          <w:sz w:val="24"/>
          <w:szCs w:val="24"/>
          <w:lang w:eastAsia="en-GB"/>
          <w14:ligatures w14:val="standardContextual"/>
        </w:rPr>
      </w:pPr>
      <w:r>
        <w:t>7.1</w:t>
      </w:r>
      <w:r>
        <w:tab/>
        <w:t>Introduction</w:t>
      </w:r>
      <w:r>
        <w:tab/>
      </w:r>
      <w:r>
        <w:fldChar w:fldCharType="begin"/>
      </w:r>
      <w:r>
        <w:instrText xml:space="preserve"> PAGEREF _Toc197337052 \h </w:instrText>
      </w:r>
      <w:r>
        <w:fldChar w:fldCharType="separate"/>
      </w:r>
      <w:r>
        <w:t>36</w:t>
      </w:r>
      <w:r>
        <w:fldChar w:fldCharType="end"/>
      </w:r>
    </w:p>
    <w:p w14:paraId="717B280B" w14:textId="1B5880CD" w:rsidR="006E2E62" w:rsidRDefault="006E2E62">
      <w:pPr>
        <w:pStyle w:val="TOC2"/>
        <w:rPr>
          <w:rFonts w:asciiTheme="minorHAnsi" w:eastAsiaTheme="minorEastAsia" w:hAnsiTheme="minorHAnsi" w:cstheme="minorBidi"/>
          <w:kern w:val="2"/>
          <w:sz w:val="24"/>
          <w:szCs w:val="24"/>
          <w:lang w:eastAsia="en-GB"/>
          <w14:ligatures w14:val="standardContextual"/>
        </w:rPr>
      </w:pPr>
      <w:r>
        <w:t>7.2</w:t>
      </w:r>
      <w:r>
        <w:tab/>
        <w:t>Analogy with Wired Networks</w:t>
      </w:r>
      <w:r>
        <w:tab/>
      </w:r>
      <w:r>
        <w:fldChar w:fldCharType="begin"/>
      </w:r>
      <w:r>
        <w:instrText xml:space="preserve"> PAGEREF _Toc197337053 \h </w:instrText>
      </w:r>
      <w:r>
        <w:fldChar w:fldCharType="separate"/>
      </w:r>
      <w:r>
        <w:t>37</w:t>
      </w:r>
      <w:r>
        <w:fldChar w:fldCharType="end"/>
      </w:r>
    </w:p>
    <w:p w14:paraId="1CBC28E2" w14:textId="065F4027" w:rsidR="006E2E62" w:rsidRDefault="006E2E62">
      <w:pPr>
        <w:pStyle w:val="TOC2"/>
        <w:rPr>
          <w:rFonts w:asciiTheme="minorHAnsi" w:eastAsiaTheme="minorEastAsia" w:hAnsiTheme="minorHAnsi" w:cstheme="minorBidi"/>
          <w:kern w:val="2"/>
          <w:sz w:val="24"/>
          <w:szCs w:val="24"/>
          <w:lang w:eastAsia="en-GB"/>
          <w14:ligatures w14:val="standardContextual"/>
        </w:rPr>
      </w:pPr>
      <w:r>
        <w:t>7.3</w:t>
      </w:r>
      <w:r>
        <w:tab/>
        <w:t>Resource Management architecture and its mechanisms</w:t>
      </w:r>
      <w:r>
        <w:tab/>
      </w:r>
      <w:r>
        <w:fldChar w:fldCharType="begin"/>
      </w:r>
      <w:r>
        <w:instrText xml:space="preserve"> PAGEREF _Toc197337054 \h </w:instrText>
      </w:r>
      <w:r>
        <w:fldChar w:fldCharType="separate"/>
      </w:r>
      <w:r>
        <w:t>37</w:t>
      </w:r>
      <w:r>
        <w:fldChar w:fldCharType="end"/>
      </w:r>
    </w:p>
    <w:p w14:paraId="79791561" w14:textId="754321CD" w:rsidR="006E2E62" w:rsidRDefault="006E2E62">
      <w:pPr>
        <w:pStyle w:val="TOC3"/>
        <w:rPr>
          <w:rFonts w:asciiTheme="minorHAnsi" w:eastAsiaTheme="minorEastAsia" w:hAnsiTheme="minorHAnsi" w:cstheme="minorBidi"/>
          <w:kern w:val="2"/>
          <w:sz w:val="24"/>
          <w:szCs w:val="24"/>
          <w:lang w:eastAsia="en-GB"/>
          <w14:ligatures w14:val="standardContextual"/>
        </w:rPr>
      </w:pPr>
      <w:r>
        <w:t>7.3.1</w:t>
      </w:r>
      <w:r>
        <w:tab/>
        <w:t>Overview</w:t>
      </w:r>
      <w:r>
        <w:tab/>
      </w:r>
      <w:r>
        <w:fldChar w:fldCharType="begin"/>
      </w:r>
      <w:r>
        <w:instrText xml:space="preserve"> PAGEREF _Toc197337055 \h </w:instrText>
      </w:r>
      <w:r>
        <w:fldChar w:fldCharType="separate"/>
      </w:r>
      <w:r>
        <w:t>37</w:t>
      </w:r>
      <w:r>
        <w:fldChar w:fldCharType="end"/>
      </w:r>
    </w:p>
    <w:p w14:paraId="35361BAE" w14:textId="1B3F628A" w:rsidR="006E2E62" w:rsidRDefault="006E2E62">
      <w:pPr>
        <w:pStyle w:val="TOC3"/>
        <w:rPr>
          <w:rFonts w:asciiTheme="minorHAnsi" w:eastAsiaTheme="minorEastAsia" w:hAnsiTheme="minorHAnsi" w:cstheme="minorBidi"/>
          <w:kern w:val="2"/>
          <w:sz w:val="24"/>
          <w:szCs w:val="24"/>
          <w:lang w:eastAsia="en-GB"/>
          <w14:ligatures w14:val="standardContextual"/>
        </w:rPr>
      </w:pPr>
      <w:r>
        <w:t>7.3.2</w:t>
      </w:r>
      <w:r>
        <w:tab/>
        <w:t>Admission Control Techniques.</w:t>
      </w:r>
      <w:r>
        <w:tab/>
      </w:r>
      <w:r>
        <w:fldChar w:fldCharType="begin"/>
      </w:r>
      <w:r>
        <w:instrText xml:space="preserve"> PAGEREF _Toc197337056 \h </w:instrText>
      </w:r>
      <w:r>
        <w:fldChar w:fldCharType="separate"/>
      </w:r>
      <w:r>
        <w:t>38</w:t>
      </w:r>
      <w:r>
        <w:fldChar w:fldCharType="end"/>
      </w:r>
    </w:p>
    <w:p w14:paraId="77D0BC32" w14:textId="038F8078" w:rsidR="006E2E62" w:rsidRDefault="006E2E62">
      <w:pPr>
        <w:pStyle w:val="TOC3"/>
        <w:rPr>
          <w:rFonts w:asciiTheme="minorHAnsi" w:eastAsiaTheme="minorEastAsia" w:hAnsiTheme="minorHAnsi" w:cstheme="minorBidi"/>
          <w:kern w:val="2"/>
          <w:sz w:val="24"/>
          <w:szCs w:val="24"/>
          <w:lang w:eastAsia="en-GB"/>
          <w14:ligatures w14:val="standardContextual"/>
        </w:rPr>
      </w:pPr>
      <w:r>
        <w:t>7.3.3</w:t>
      </w:r>
      <w:r>
        <w:tab/>
        <w:t>Dynamic Bandwidth Management Techniques</w:t>
      </w:r>
      <w:r>
        <w:tab/>
      </w:r>
      <w:r>
        <w:fldChar w:fldCharType="begin"/>
      </w:r>
      <w:r>
        <w:instrText xml:space="preserve"> PAGEREF _Toc197337057 \h </w:instrText>
      </w:r>
      <w:r>
        <w:fldChar w:fldCharType="separate"/>
      </w:r>
      <w:r>
        <w:t>39</w:t>
      </w:r>
      <w:r>
        <w:fldChar w:fldCharType="end"/>
      </w:r>
    </w:p>
    <w:p w14:paraId="1DD0D023" w14:textId="319F796D" w:rsidR="006E2E62" w:rsidRDefault="006E2E62">
      <w:pPr>
        <w:pStyle w:val="TOC3"/>
        <w:rPr>
          <w:rFonts w:asciiTheme="minorHAnsi" w:eastAsiaTheme="minorEastAsia" w:hAnsiTheme="minorHAnsi" w:cstheme="minorBidi"/>
          <w:kern w:val="2"/>
          <w:sz w:val="24"/>
          <w:szCs w:val="24"/>
          <w:lang w:eastAsia="en-GB"/>
          <w14:ligatures w14:val="standardContextual"/>
        </w:rPr>
      </w:pPr>
      <w:r>
        <w:t>7.3.4</w:t>
      </w:r>
      <w:r>
        <w:tab/>
        <w:t>Traffic Shaping Policies</w:t>
      </w:r>
      <w:r>
        <w:tab/>
      </w:r>
      <w:r>
        <w:fldChar w:fldCharType="begin"/>
      </w:r>
      <w:r>
        <w:instrText xml:space="preserve"> PAGEREF _Toc197337058 \h </w:instrText>
      </w:r>
      <w:r>
        <w:fldChar w:fldCharType="separate"/>
      </w:r>
      <w:r>
        <w:t>39</w:t>
      </w:r>
      <w:r>
        <w:fldChar w:fldCharType="end"/>
      </w:r>
    </w:p>
    <w:p w14:paraId="6ECD9FDC" w14:textId="2241E6DD" w:rsidR="006E2E62" w:rsidRDefault="006E2E62">
      <w:pPr>
        <w:pStyle w:val="TOC3"/>
        <w:rPr>
          <w:rFonts w:asciiTheme="minorHAnsi" w:eastAsiaTheme="minorEastAsia" w:hAnsiTheme="minorHAnsi" w:cstheme="minorBidi"/>
          <w:kern w:val="2"/>
          <w:sz w:val="24"/>
          <w:szCs w:val="24"/>
          <w:lang w:eastAsia="en-GB"/>
          <w14:ligatures w14:val="standardContextual"/>
        </w:rPr>
      </w:pPr>
      <w:r>
        <w:t>7.3.5</w:t>
      </w:r>
      <w:r>
        <w:tab/>
        <w:t>Traffic Policing Policies</w:t>
      </w:r>
      <w:r>
        <w:tab/>
      </w:r>
      <w:r>
        <w:fldChar w:fldCharType="begin"/>
      </w:r>
      <w:r>
        <w:instrText xml:space="preserve"> PAGEREF _Toc197337059 \h </w:instrText>
      </w:r>
      <w:r>
        <w:fldChar w:fldCharType="separate"/>
      </w:r>
      <w:r>
        <w:t>40</w:t>
      </w:r>
      <w:r>
        <w:fldChar w:fldCharType="end"/>
      </w:r>
    </w:p>
    <w:p w14:paraId="617AB042" w14:textId="7136FD40" w:rsidR="006E2E62" w:rsidRDefault="006E2E62">
      <w:pPr>
        <w:pStyle w:val="TOC3"/>
        <w:rPr>
          <w:rFonts w:asciiTheme="minorHAnsi" w:eastAsiaTheme="minorEastAsia" w:hAnsiTheme="minorHAnsi" w:cstheme="minorBidi"/>
          <w:kern w:val="2"/>
          <w:sz w:val="24"/>
          <w:szCs w:val="24"/>
          <w:lang w:eastAsia="en-GB"/>
          <w14:ligatures w14:val="standardContextual"/>
        </w:rPr>
      </w:pPr>
      <w:r>
        <w:t>7.3.6</w:t>
      </w:r>
      <w:r>
        <w:tab/>
        <w:t>A Basic solution</w:t>
      </w:r>
      <w:r>
        <w:tab/>
      </w:r>
      <w:r>
        <w:fldChar w:fldCharType="begin"/>
      </w:r>
      <w:r>
        <w:instrText xml:space="preserve"> PAGEREF _Toc197337060 \h </w:instrText>
      </w:r>
      <w:r>
        <w:fldChar w:fldCharType="separate"/>
      </w:r>
      <w:r>
        <w:t>40</w:t>
      </w:r>
      <w:r>
        <w:fldChar w:fldCharType="end"/>
      </w:r>
    </w:p>
    <w:p w14:paraId="3AC8BF0D" w14:textId="68CCAD16"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A: Rationale for the limits imposed by congestion control</w:t>
      </w:r>
      <w:r>
        <w:tab/>
      </w:r>
      <w:r>
        <w:fldChar w:fldCharType="begin"/>
      </w:r>
      <w:r>
        <w:instrText xml:space="preserve"> PAGEREF _Toc197337061 \h </w:instrText>
      </w:r>
      <w:r>
        <w:fldChar w:fldCharType="separate"/>
      </w:r>
      <w:r>
        <w:t>42</w:t>
      </w:r>
      <w:r>
        <w:fldChar w:fldCharType="end"/>
      </w:r>
    </w:p>
    <w:p w14:paraId="42561EDA" w14:textId="0B86B480"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B: Methods to characterise congestion control algorithms</w:t>
      </w:r>
      <w:r>
        <w:tab/>
      </w:r>
      <w:r>
        <w:fldChar w:fldCharType="begin"/>
      </w:r>
      <w:r>
        <w:instrText xml:space="preserve"> PAGEREF _Toc197337062 \h </w:instrText>
      </w:r>
      <w:r>
        <w:fldChar w:fldCharType="separate"/>
      </w:r>
      <w:r>
        <w:t>43</w:t>
      </w:r>
      <w:r>
        <w:fldChar w:fldCharType="end"/>
      </w:r>
    </w:p>
    <w:p w14:paraId="7CEA75D2" w14:textId="2C437A00" w:rsidR="006E2E62" w:rsidRDefault="006E2E62">
      <w:pPr>
        <w:pStyle w:val="TOC2"/>
        <w:rPr>
          <w:rFonts w:asciiTheme="minorHAnsi" w:eastAsiaTheme="minorEastAsia" w:hAnsiTheme="minorHAnsi" w:cstheme="minorBidi"/>
          <w:kern w:val="2"/>
          <w:sz w:val="24"/>
          <w:szCs w:val="24"/>
          <w:lang w:eastAsia="en-GB"/>
          <w14:ligatures w14:val="standardContextual"/>
        </w:rPr>
      </w:pPr>
      <w:r>
        <w:t>B.1</w:t>
      </w:r>
      <w:r>
        <w:tab/>
        <w:t>Modelling of a rate control loop</w:t>
      </w:r>
      <w:r>
        <w:tab/>
      </w:r>
      <w:r>
        <w:fldChar w:fldCharType="begin"/>
      </w:r>
      <w:r>
        <w:instrText xml:space="preserve"> PAGEREF _Toc197337063 \h </w:instrText>
      </w:r>
      <w:r>
        <w:fldChar w:fldCharType="separate"/>
      </w:r>
      <w:r>
        <w:t>43</w:t>
      </w:r>
      <w:r>
        <w:fldChar w:fldCharType="end"/>
      </w:r>
    </w:p>
    <w:p w14:paraId="49B6F751" w14:textId="0C6F17C7" w:rsidR="006E2E62" w:rsidRDefault="006E2E62">
      <w:pPr>
        <w:pStyle w:val="TOC3"/>
        <w:rPr>
          <w:rFonts w:asciiTheme="minorHAnsi" w:eastAsiaTheme="minorEastAsia" w:hAnsiTheme="minorHAnsi" w:cstheme="minorBidi"/>
          <w:kern w:val="2"/>
          <w:sz w:val="24"/>
          <w:szCs w:val="24"/>
          <w:lang w:eastAsia="en-GB"/>
          <w14:ligatures w14:val="standardContextual"/>
        </w:rPr>
      </w:pPr>
      <w:r>
        <w:t>B.1.1</w:t>
      </w:r>
      <w:r>
        <w:tab/>
        <w:t>Definition of the channel busy ratio limit</w:t>
      </w:r>
      <w:r>
        <w:tab/>
      </w:r>
      <w:r>
        <w:fldChar w:fldCharType="begin"/>
      </w:r>
      <w:r>
        <w:instrText xml:space="preserve"> PAGEREF _Toc197337064 \h </w:instrText>
      </w:r>
      <w:r>
        <w:fldChar w:fldCharType="separate"/>
      </w:r>
      <w:r>
        <w:t>43</w:t>
      </w:r>
      <w:r>
        <w:fldChar w:fldCharType="end"/>
      </w:r>
    </w:p>
    <w:p w14:paraId="0B3ACC33" w14:textId="07CB81DE" w:rsidR="006E2E62" w:rsidRDefault="006E2E62">
      <w:pPr>
        <w:pStyle w:val="TOC3"/>
        <w:rPr>
          <w:rFonts w:asciiTheme="minorHAnsi" w:eastAsiaTheme="minorEastAsia" w:hAnsiTheme="minorHAnsi" w:cstheme="minorBidi"/>
          <w:kern w:val="2"/>
          <w:sz w:val="24"/>
          <w:szCs w:val="24"/>
          <w:lang w:eastAsia="en-GB"/>
          <w14:ligatures w14:val="standardContextual"/>
        </w:rPr>
      </w:pPr>
      <w:r>
        <w:t>B.1.2</w:t>
      </w:r>
      <w:r>
        <w:tab/>
        <w:t>Function of the rate controller</w:t>
      </w:r>
      <w:r>
        <w:tab/>
      </w:r>
      <w:r>
        <w:fldChar w:fldCharType="begin"/>
      </w:r>
      <w:r>
        <w:instrText xml:space="preserve"> PAGEREF _Toc197337065 \h </w:instrText>
      </w:r>
      <w:r>
        <w:fldChar w:fldCharType="separate"/>
      </w:r>
      <w:r>
        <w:t>44</w:t>
      </w:r>
      <w:r>
        <w:fldChar w:fldCharType="end"/>
      </w:r>
    </w:p>
    <w:p w14:paraId="69B877F9" w14:textId="369A9482" w:rsidR="006E2E62" w:rsidRDefault="006E2E62">
      <w:pPr>
        <w:pStyle w:val="TOC2"/>
        <w:rPr>
          <w:rFonts w:asciiTheme="minorHAnsi" w:eastAsiaTheme="minorEastAsia" w:hAnsiTheme="minorHAnsi" w:cstheme="minorBidi"/>
          <w:kern w:val="2"/>
          <w:sz w:val="24"/>
          <w:szCs w:val="24"/>
          <w:lang w:eastAsia="en-GB"/>
          <w14:ligatures w14:val="standardContextual"/>
        </w:rPr>
      </w:pPr>
      <w:r>
        <w:t>B.1.3</w:t>
      </w:r>
      <w:r>
        <w:tab/>
        <w:t>Structure of a feedback controller</w:t>
      </w:r>
      <w:r>
        <w:tab/>
      </w:r>
      <w:r>
        <w:fldChar w:fldCharType="begin"/>
      </w:r>
      <w:r>
        <w:instrText xml:space="preserve"> PAGEREF _Toc197337066 \h </w:instrText>
      </w:r>
      <w:r>
        <w:fldChar w:fldCharType="separate"/>
      </w:r>
      <w:r>
        <w:t>44</w:t>
      </w:r>
      <w:r>
        <w:fldChar w:fldCharType="end"/>
      </w:r>
    </w:p>
    <w:p w14:paraId="64DF752E" w14:textId="61AF92BE" w:rsidR="006E2E62" w:rsidRDefault="006E2E62">
      <w:pPr>
        <w:pStyle w:val="TOC2"/>
        <w:rPr>
          <w:rFonts w:asciiTheme="minorHAnsi" w:eastAsiaTheme="minorEastAsia" w:hAnsiTheme="minorHAnsi" w:cstheme="minorBidi"/>
          <w:kern w:val="2"/>
          <w:sz w:val="24"/>
          <w:szCs w:val="24"/>
          <w:lang w:eastAsia="en-GB"/>
          <w14:ligatures w14:val="standardContextual"/>
        </w:rPr>
      </w:pPr>
      <w:r>
        <w:t>B.2</w:t>
      </w:r>
      <w:r>
        <w:tab/>
        <w:t>Control equilibrium</w:t>
      </w:r>
      <w:r>
        <w:tab/>
      </w:r>
      <w:r>
        <w:fldChar w:fldCharType="begin"/>
      </w:r>
      <w:r>
        <w:instrText xml:space="preserve"> PAGEREF _Toc197337067 \h </w:instrText>
      </w:r>
      <w:r>
        <w:fldChar w:fldCharType="separate"/>
      </w:r>
      <w:r>
        <w:t>45</w:t>
      </w:r>
      <w:r>
        <w:fldChar w:fldCharType="end"/>
      </w:r>
    </w:p>
    <w:p w14:paraId="6B9F4ADD" w14:textId="6A5FCF04" w:rsidR="006E2E62" w:rsidRDefault="006E2E62">
      <w:pPr>
        <w:pStyle w:val="TOC2"/>
        <w:rPr>
          <w:rFonts w:asciiTheme="minorHAnsi" w:eastAsiaTheme="minorEastAsia" w:hAnsiTheme="minorHAnsi" w:cstheme="minorBidi"/>
          <w:kern w:val="2"/>
          <w:sz w:val="24"/>
          <w:szCs w:val="24"/>
          <w:lang w:eastAsia="en-GB"/>
          <w14:ligatures w14:val="standardContextual"/>
        </w:rPr>
      </w:pPr>
      <w:r w:rsidRPr="00F52C92">
        <w:t>B.3</w:t>
      </w:r>
      <w:r>
        <w:tab/>
        <w:t>Stability</w:t>
      </w:r>
      <w:r>
        <w:tab/>
      </w:r>
      <w:r>
        <w:fldChar w:fldCharType="begin"/>
      </w:r>
      <w:r>
        <w:instrText xml:space="preserve"> PAGEREF _Toc197337068 \h </w:instrText>
      </w:r>
      <w:r>
        <w:fldChar w:fldCharType="separate"/>
      </w:r>
      <w:r>
        <w:t>45</w:t>
      </w:r>
      <w:r>
        <w:fldChar w:fldCharType="end"/>
      </w:r>
    </w:p>
    <w:p w14:paraId="5907E25D" w14:textId="19A8F5C4" w:rsidR="006E2E62" w:rsidRDefault="006E2E62">
      <w:pPr>
        <w:pStyle w:val="TOC3"/>
        <w:rPr>
          <w:rFonts w:asciiTheme="minorHAnsi" w:eastAsiaTheme="minorEastAsia" w:hAnsiTheme="minorHAnsi" w:cstheme="minorBidi"/>
          <w:kern w:val="2"/>
          <w:sz w:val="24"/>
          <w:szCs w:val="24"/>
          <w:lang w:eastAsia="en-GB"/>
          <w14:ligatures w14:val="standardContextual"/>
        </w:rPr>
      </w:pPr>
      <w:r>
        <w:t>B.3.1</w:t>
      </w:r>
      <w:r>
        <w:tab/>
        <w:t>Different types of stability</w:t>
      </w:r>
      <w:r>
        <w:tab/>
      </w:r>
      <w:r>
        <w:fldChar w:fldCharType="begin"/>
      </w:r>
      <w:r>
        <w:instrText xml:space="preserve"> PAGEREF _Toc197337069 \h </w:instrText>
      </w:r>
      <w:r>
        <w:fldChar w:fldCharType="separate"/>
      </w:r>
      <w:r>
        <w:t>45</w:t>
      </w:r>
      <w:r>
        <w:fldChar w:fldCharType="end"/>
      </w:r>
    </w:p>
    <w:p w14:paraId="1E840126" w14:textId="1190B675" w:rsidR="006E2E62" w:rsidRDefault="006E2E62">
      <w:pPr>
        <w:pStyle w:val="TOC3"/>
        <w:rPr>
          <w:rFonts w:asciiTheme="minorHAnsi" w:eastAsiaTheme="minorEastAsia" w:hAnsiTheme="minorHAnsi" w:cstheme="minorBidi"/>
          <w:kern w:val="2"/>
          <w:sz w:val="24"/>
          <w:szCs w:val="24"/>
          <w:lang w:eastAsia="en-GB"/>
          <w14:ligatures w14:val="standardContextual"/>
        </w:rPr>
      </w:pPr>
      <w:r>
        <w:t>B.3.2</w:t>
      </w:r>
      <w:r>
        <w:tab/>
        <w:t>Description of the controller by a differential equation</w:t>
      </w:r>
      <w:r>
        <w:tab/>
      </w:r>
      <w:r>
        <w:fldChar w:fldCharType="begin"/>
      </w:r>
      <w:r>
        <w:instrText xml:space="preserve"> PAGEREF _Toc197337070 \h </w:instrText>
      </w:r>
      <w:r>
        <w:fldChar w:fldCharType="separate"/>
      </w:r>
      <w:r>
        <w:t>46</w:t>
      </w:r>
      <w:r>
        <w:fldChar w:fldCharType="end"/>
      </w:r>
    </w:p>
    <w:p w14:paraId="492CCFD8" w14:textId="43351129" w:rsidR="006E2E62" w:rsidRDefault="006E2E62">
      <w:pPr>
        <w:pStyle w:val="TOC3"/>
        <w:rPr>
          <w:rFonts w:asciiTheme="minorHAnsi" w:eastAsiaTheme="minorEastAsia" w:hAnsiTheme="minorHAnsi" w:cstheme="minorBidi"/>
          <w:kern w:val="2"/>
          <w:sz w:val="24"/>
          <w:szCs w:val="24"/>
          <w:lang w:eastAsia="en-GB"/>
          <w14:ligatures w14:val="standardContextual"/>
        </w:rPr>
      </w:pPr>
      <w:r>
        <w:t>B.3.3</w:t>
      </w:r>
      <w:r>
        <w:tab/>
        <w:t>Convergence</w:t>
      </w:r>
      <w:r>
        <w:tab/>
      </w:r>
      <w:r>
        <w:fldChar w:fldCharType="begin"/>
      </w:r>
      <w:r>
        <w:instrText xml:space="preserve"> PAGEREF _Toc197337071 \h </w:instrText>
      </w:r>
      <w:r>
        <w:fldChar w:fldCharType="separate"/>
      </w:r>
      <w:r>
        <w:t>46</w:t>
      </w:r>
      <w:r>
        <w:fldChar w:fldCharType="end"/>
      </w:r>
    </w:p>
    <w:p w14:paraId="572E5E6B" w14:textId="3D879DFA" w:rsidR="006E2E62" w:rsidRDefault="006E2E62">
      <w:pPr>
        <w:pStyle w:val="TOC3"/>
        <w:rPr>
          <w:rFonts w:asciiTheme="minorHAnsi" w:eastAsiaTheme="minorEastAsia" w:hAnsiTheme="minorHAnsi" w:cstheme="minorBidi"/>
          <w:kern w:val="2"/>
          <w:sz w:val="24"/>
          <w:szCs w:val="24"/>
          <w:lang w:eastAsia="en-GB"/>
          <w14:ligatures w14:val="standardContextual"/>
        </w:rPr>
      </w:pPr>
      <w:r>
        <w:t>B.3.4</w:t>
      </w:r>
      <w:r>
        <w:tab/>
        <w:t>Continuous-time stability</w:t>
      </w:r>
      <w:r>
        <w:tab/>
      </w:r>
      <w:r>
        <w:fldChar w:fldCharType="begin"/>
      </w:r>
      <w:r>
        <w:instrText xml:space="preserve"> PAGEREF _Toc197337072 \h </w:instrText>
      </w:r>
      <w:r>
        <w:fldChar w:fldCharType="separate"/>
      </w:r>
      <w:r>
        <w:t>46</w:t>
      </w:r>
      <w:r>
        <w:fldChar w:fldCharType="end"/>
      </w:r>
    </w:p>
    <w:p w14:paraId="28E91D9E" w14:textId="11ACB2F0" w:rsidR="006E2E62" w:rsidRDefault="006E2E62">
      <w:pPr>
        <w:pStyle w:val="TOC3"/>
        <w:rPr>
          <w:rFonts w:asciiTheme="minorHAnsi" w:eastAsiaTheme="minorEastAsia" w:hAnsiTheme="minorHAnsi" w:cstheme="minorBidi"/>
          <w:kern w:val="2"/>
          <w:sz w:val="24"/>
          <w:szCs w:val="24"/>
          <w:lang w:eastAsia="en-GB"/>
          <w14:ligatures w14:val="standardContextual"/>
        </w:rPr>
      </w:pPr>
      <w:r>
        <w:t>B.3.5</w:t>
      </w:r>
      <w:r>
        <w:tab/>
        <w:t>Discrete-time Stability</w:t>
      </w:r>
      <w:r>
        <w:tab/>
      </w:r>
      <w:r>
        <w:fldChar w:fldCharType="begin"/>
      </w:r>
      <w:r>
        <w:instrText xml:space="preserve"> PAGEREF _Toc197337073 \h </w:instrText>
      </w:r>
      <w:r>
        <w:fldChar w:fldCharType="separate"/>
      </w:r>
      <w:r>
        <w:t>46</w:t>
      </w:r>
      <w:r>
        <w:fldChar w:fldCharType="end"/>
      </w:r>
    </w:p>
    <w:p w14:paraId="1221FBB6" w14:textId="134DE432" w:rsidR="006E2E62" w:rsidRDefault="006E2E62">
      <w:pPr>
        <w:pStyle w:val="TOC2"/>
        <w:rPr>
          <w:rFonts w:asciiTheme="minorHAnsi" w:eastAsiaTheme="minorEastAsia" w:hAnsiTheme="minorHAnsi" w:cstheme="minorBidi"/>
          <w:kern w:val="2"/>
          <w:sz w:val="24"/>
          <w:szCs w:val="24"/>
          <w:lang w:eastAsia="en-GB"/>
          <w14:ligatures w14:val="standardContextual"/>
        </w:rPr>
      </w:pPr>
      <w:r>
        <w:t>B.4</w:t>
      </w:r>
      <w:r>
        <w:tab/>
        <w:t>Control dynamics</w:t>
      </w:r>
      <w:r>
        <w:tab/>
      </w:r>
      <w:r>
        <w:fldChar w:fldCharType="begin"/>
      </w:r>
      <w:r>
        <w:instrText xml:space="preserve"> PAGEREF _Toc197337074 \h </w:instrText>
      </w:r>
      <w:r>
        <w:fldChar w:fldCharType="separate"/>
      </w:r>
      <w:r>
        <w:t>47</w:t>
      </w:r>
      <w:r>
        <w:fldChar w:fldCharType="end"/>
      </w:r>
    </w:p>
    <w:p w14:paraId="3CC22945" w14:textId="283164BD"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C: Characterisation of congestion control algorithms</w:t>
      </w:r>
      <w:r>
        <w:tab/>
      </w:r>
      <w:r>
        <w:fldChar w:fldCharType="begin"/>
      </w:r>
      <w:r>
        <w:instrText xml:space="preserve"> PAGEREF _Toc197337075 \h </w:instrText>
      </w:r>
      <w:r>
        <w:fldChar w:fldCharType="separate"/>
      </w:r>
      <w:r>
        <w:t>47</w:t>
      </w:r>
      <w:r>
        <w:fldChar w:fldCharType="end"/>
      </w:r>
    </w:p>
    <w:p w14:paraId="7FB5FFB9" w14:textId="0A67BAC9" w:rsidR="006E2E62" w:rsidRDefault="006E2E62">
      <w:pPr>
        <w:pStyle w:val="TOC2"/>
        <w:rPr>
          <w:rFonts w:asciiTheme="minorHAnsi" w:eastAsiaTheme="minorEastAsia" w:hAnsiTheme="minorHAnsi" w:cstheme="minorBidi"/>
          <w:kern w:val="2"/>
          <w:sz w:val="24"/>
          <w:szCs w:val="24"/>
          <w:lang w:eastAsia="en-GB"/>
          <w14:ligatures w14:val="standardContextual"/>
        </w:rPr>
      </w:pPr>
      <w:r>
        <w:t>C.1</w:t>
      </w:r>
      <w:r>
        <w:tab/>
        <w:t>Reactive congestion control</w:t>
      </w:r>
      <w:r>
        <w:tab/>
      </w:r>
      <w:r>
        <w:fldChar w:fldCharType="begin"/>
      </w:r>
      <w:r>
        <w:instrText xml:space="preserve"> PAGEREF _Toc197337076 \h </w:instrText>
      </w:r>
      <w:r>
        <w:fldChar w:fldCharType="separate"/>
      </w:r>
      <w:r>
        <w:t>47</w:t>
      </w:r>
      <w:r>
        <w:fldChar w:fldCharType="end"/>
      </w:r>
    </w:p>
    <w:p w14:paraId="04205D3D" w14:textId="39A529A6" w:rsidR="006E2E62" w:rsidRDefault="006E2E62">
      <w:pPr>
        <w:pStyle w:val="TOC3"/>
        <w:rPr>
          <w:rFonts w:asciiTheme="minorHAnsi" w:eastAsiaTheme="minorEastAsia" w:hAnsiTheme="minorHAnsi" w:cstheme="minorBidi"/>
          <w:kern w:val="2"/>
          <w:sz w:val="24"/>
          <w:szCs w:val="24"/>
          <w:lang w:eastAsia="en-GB"/>
          <w14:ligatures w14:val="standardContextual"/>
        </w:rPr>
      </w:pPr>
      <w:r>
        <w:t>C.1.1</w:t>
      </w:r>
      <w:r>
        <w:tab/>
        <w:t>Control equilibrium of the reactive congestion control</w:t>
      </w:r>
      <w:r>
        <w:tab/>
      </w:r>
      <w:r>
        <w:fldChar w:fldCharType="begin"/>
      </w:r>
      <w:r>
        <w:instrText xml:space="preserve"> PAGEREF _Toc197337077 \h </w:instrText>
      </w:r>
      <w:r>
        <w:fldChar w:fldCharType="separate"/>
      </w:r>
      <w:r>
        <w:t>47</w:t>
      </w:r>
      <w:r>
        <w:fldChar w:fldCharType="end"/>
      </w:r>
    </w:p>
    <w:p w14:paraId="68A59864" w14:textId="30693730" w:rsidR="006E2E62" w:rsidRDefault="006E2E62">
      <w:pPr>
        <w:pStyle w:val="TOC3"/>
        <w:rPr>
          <w:rFonts w:asciiTheme="minorHAnsi" w:eastAsiaTheme="minorEastAsia" w:hAnsiTheme="minorHAnsi" w:cstheme="minorBidi"/>
          <w:kern w:val="2"/>
          <w:sz w:val="24"/>
          <w:szCs w:val="24"/>
          <w:lang w:eastAsia="en-GB"/>
          <w14:ligatures w14:val="standardContextual"/>
        </w:rPr>
      </w:pPr>
      <w:r>
        <w:t>C.1.2</w:t>
      </w:r>
      <w:r>
        <w:tab/>
        <w:t>Convergence of the reactive congestion control</w:t>
      </w:r>
      <w:r>
        <w:tab/>
      </w:r>
      <w:r>
        <w:fldChar w:fldCharType="begin"/>
      </w:r>
      <w:r>
        <w:instrText xml:space="preserve"> PAGEREF _Toc197337078 \h </w:instrText>
      </w:r>
      <w:r>
        <w:fldChar w:fldCharType="separate"/>
      </w:r>
      <w:r>
        <w:t>49</w:t>
      </w:r>
      <w:r>
        <w:fldChar w:fldCharType="end"/>
      </w:r>
    </w:p>
    <w:p w14:paraId="33D42D1D" w14:textId="1C6E8AE6" w:rsidR="006E2E62" w:rsidRDefault="006E2E62">
      <w:pPr>
        <w:pStyle w:val="TOC3"/>
        <w:rPr>
          <w:rFonts w:asciiTheme="minorHAnsi" w:eastAsiaTheme="minorEastAsia" w:hAnsiTheme="minorHAnsi" w:cstheme="minorBidi"/>
          <w:kern w:val="2"/>
          <w:sz w:val="24"/>
          <w:szCs w:val="24"/>
          <w:lang w:eastAsia="en-GB"/>
          <w14:ligatures w14:val="standardContextual"/>
        </w:rPr>
      </w:pPr>
      <w:r>
        <w:t>C.1.3</w:t>
      </w:r>
      <w:r>
        <w:tab/>
        <w:t>Stability of the reactive congestion control</w:t>
      </w:r>
      <w:r>
        <w:tab/>
      </w:r>
      <w:r>
        <w:fldChar w:fldCharType="begin"/>
      </w:r>
      <w:r>
        <w:instrText xml:space="preserve"> PAGEREF _Toc197337079 \h </w:instrText>
      </w:r>
      <w:r>
        <w:fldChar w:fldCharType="separate"/>
      </w:r>
      <w:r>
        <w:t>50</w:t>
      </w:r>
      <w:r>
        <w:fldChar w:fldCharType="end"/>
      </w:r>
    </w:p>
    <w:p w14:paraId="6DD383E1" w14:textId="734D9D84" w:rsidR="006E2E62" w:rsidRDefault="006E2E62">
      <w:pPr>
        <w:pStyle w:val="TOC4"/>
        <w:rPr>
          <w:rFonts w:asciiTheme="minorHAnsi" w:eastAsiaTheme="minorEastAsia" w:hAnsiTheme="minorHAnsi" w:cstheme="minorBidi"/>
          <w:kern w:val="2"/>
          <w:sz w:val="24"/>
          <w:szCs w:val="24"/>
          <w:lang w:eastAsia="en-GB"/>
          <w14:ligatures w14:val="standardContextual"/>
        </w:rPr>
      </w:pPr>
      <w:r>
        <w:t>C.1.3.1</w:t>
      </w:r>
      <w:r>
        <w:tab/>
        <w:t>Stability of the reactive congestion control without filtering according to [ETSI TS 102 687 V1.2.1]</w:t>
      </w:r>
      <w:r>
        <w:tab/>
      </w:r>
      <w:r>
        <w:fldChar w:fldCharType="begin"/>
      </w:r>
      <w:r>
        <w:instrText xml:space="preserve"> PAGEREF _Toc197337080 \h </w:instrText>
      </w:r>
      <w:r>
        <w:fldChar w:fldCharType="separate"/>
      </w:r>
      <w:r>
        <w:t>50</w:t>
      </w:r>
      <w:r>
        <w:fldChar w:fldCharType="end"/>
      </w:r>
    </w:p>
    <w:p w14:paraId="6677407A" w14:textId="138DAAE5" w:rsidR="006E2E62" w:rsidRDefault="006E2E62">
      <w:pPr>
        <w:pStyle w:val="TOC4"/>
        <w:rPr>
          <w:rFonts w:asciiTheme="minorHAnsi" w:eastAsiaTheme="minorEastAsia" w:hAnsiTheme="minorHAnsi" w:cstheme="minorBidi"/>
          <w:kern w:val="2"/>
          <w:sz w:val="24"/>
          <w:szCs w:val="24"/>
          <w:lang w:eastAsia="en-GB"/>
          <w14:ligatures w14:val="standardContextual"/>
        </w:rPr>
      </w:pPr>
      <w:r>
        <w:t>C.1.3.1.1</w:t>
      </w:r>
      <w:r>
        <w:tab/>
        <w:t>Continuous time stability</w:t>
      </w:r>
      <w:r>
        <w:tab/>
      </w:r>
      <w:r>
        <w:fldChar w:fldCharType="begin"/>
      </w:r>
      <w:r>
        <w:instrText xml:space="preserve"> PAGEREF _Toc197337081 \h </w:instrText>
      </w:r>
      <w:r>
        <w:fldChar w:fldCharType="separate"/>
      </w:r>
      <w:r>
        <w:t>50</w:t>
      </w:r>
      <w:r>
        <w:fldChar w:fldCharType="end"/>
      </w:r>
    </w:p>
    <w:p w14:paraId="07F17E30" w14:textId="3E00B7DA" w:rsidR="006E2E62" w:rsidRDefault="006E2E62">
      <w:pPr>
        <w:pStyle w:val="TOC4"/>
        <w:rPr>
          <w:rFonts w:asciiTheme="minorHAnsi" w:eastAsiaTheme="minorEastAsia" w:hAnsiTheme="minorHAnsi" w:cstheme="minorBidi"/>
          <w:kern w:val="2"/>
          <w:sz w:val="24"/>
          <w:szCs w:val="24"/>
          <w:lang w:eastAsia="en-GB"/>
          <w14:ligatures w14:val="standardContextual"/>
        </w:rPr>
      </w:pPr>
      <w:r>
        <w:t>C.1.3.1.2</w:t>
      </w:r>
      <w:r>
        <w:tab/>
        <w:t xml:space="preserve">Discrete </w:t>
      </w:r>
      <w:r w:rsidRPr="00536A2F">
        <w:rPr>
          <w:i/>
          <w:iCs/>
        </w:rPr>
        <w:t>T</w:t>
      </w:r>
      <w:r w:rsidRPr="00536A2F">
        <w:rPr>
          <w:i/>
          <w:iCs/>
          <w:vertAlign w:val="subscript"/>
        </w:rPr>
        <w:t>off</w:t>
      </w:r>
      <w:r>
        <w:t xml:space="preserve"> stability and convergence speed</w:t>
      </w:r>
      <w:r>
        <w:tab/>
      </w:r>
      <w:r>
        <w:fldChar w:fldCharType="begin"/>
      </w:r>
      <w:r>
        <w:instrText xml:space="preserve"> PAGEREF _Toc197337082 \h </w:instrText>
      </w:r>
      <w:r>
        <w:fldChar w:fldCharType="separate"/>
      </w:r>
      <w:r>
        <w:t>51</w:t>
      </w:r>
      <w:r>
        <w:fldChar w:fldCharType="end"/>
      </w:r>
    </w:p>
    <w:p w14:paraId="5682A033" w14:textId="5DEB927E" w:rsidR="006E2E62" w:rsidRDefault="006E2E62">
      <w:pPr>
        <w:pStyle w:val="TOC4"/>
        <w:rPr>
          <w:rFonts w:asciiTheme="minorHAnsi" w:eastAsiaTheme="minorEastAsia" w:hAnsiTheme="minorHAnsi" w:cstheme="minorBidi"/>
          <w:kern w:val="2"/>
          <w:sz w:val="24"/>
          <w:szCs w:val="24"/>
          <w:lang w:eastAsia="en-GB"/>
          <w14:ligatures w14:val="standardContextual"/>
        </w:rPr>
      </w:pPr>
      <w:r>
        <w:t>C.1.3.2</w:t>
      </w:r>
      <w:r>
        <w:tab/>
        <w:t>Stability of the reactive congestion control with filtering according to [C2C</w:t>
      </w:r>
      <w:r>
        <w:noBreakHyphen/>
        <w:t>CC: “Vehicle C-ITS station profile #2037”, RS_BSP_240]</w:t>
      </w:r>
      <w:r>
        <w:tab/>
      </w:r>
      <w:r>
        <w:fldChar w:fldCharType="begin"/>
      </w:r>
      <w:r>
        <w:instrText xml:space="preserve"> PAGEREF _Toc197337083 \h </w:instrText>
      </w:r>
      <w:r>
        <w:fldChar w:fldCharType="separate"/>
      </w:r>
      <w:r>
        <w:t>53</w:t>
      </w:r>
      <w:r>
        <w:fldChar w:fldCharType="end"/>
      </w:r>
    </w:p>
    <w:p w14:paraId="6C48972C" w14:textId="41C578D7" w:rsidR="006E2E62" w:rsidRDefault="006E2E62">
      <w:pPr>
        <w:pStyle w:val="TOC2"/>
        <w:rPr>
          <w:rFonts w:asciiTheme="minorHAnsi" w:eastAsiaTheme="minorEastAsia" w:hAnsiTheme="minorHAnsi" w:cstheme="minorBidi"/>
          <w:kern w:val="2"/>
          <w:sz w:val="24"/>
          <w:szCs w:val="24"/>
          <w:lang w:eastAsia="en-GB"/>
          <w14:ligatures w14:val="standardContextual"/>
        </w:rPr>
      </w:pPr>
      <w:r>
        <w:t>C.2</w:t>
      </w:r>
      <w:r>
        <w:tab/>
        <w:t>Adaptive congestion control</w:t>
      </w:r>
      <w:r>
        <w:tab/>
      </w:r>
      <w:r>
        <w:fldChar w:fldCharType="begin"/>
      </w:r>
      <w:r>
        <w:instrText xml:space="preserve"> PAGEREF _Toc197337084 \h </w:instrText>
      </w:r>
      <w:r>
        <w:fldChar w:fldCharType="separate"/>
      </w:r>
      <w:r>
        <w:t>54</w:t>
      </w:r>
      <w:r>
        <w:fldChar w:fldCharType="end"/>
      </w:r>
    </w:p>
    <w:p w14:paraId="37DC5A3D" w14:textId="60E93E47" w:rsidR="006E2E62" w:rsidRDefault="006E2E62">
      <w:pPr>
        <w:pStyle w:val="TOC3"/>
        <w:rPr>
          <w:rFonts w:asciiTheme="minorHAnsi" w:eastAsiaTheme="minorEastAsia" w:hAnsiTheme="minorHAnsi" w:cstheme="minorBidi"/>
          <w:kern w:val="2"/>
          <w:sz w:val="24"/>
          <w:szCs w:val="24"/>
          <w:lang w:eastAsia="en-GB"/>
          <w14:ligatures w14:val="standardContextual"/>
        </w:rPr>
      </w:pPr>
      <w:r>
        <w:t>C.2.1</w:t>
      </w:r>
      <w:r>
        <w:tab/>
        <w:t>Control equilibrium of the adaptive congestion control</w:t>
      </w:r>
      <w:r>
        <w:tab/>
      </w:r>
      <w:r>
        <w:fldChar w:fldCharType="begin"/>
      </w:r>
      <w:r>
        <w:instrText xml:space="preserve"> PAGEREF _Toc197337085 \h </w:instrText>
      </w:r>
      <w:r>
        <w:fldChar w:fldCharType="separate"/>
      </w:r>
      <w:r>
        <w:t>54</w:t>
      </w:r>
      <w:r>
        <w:fldChar w:fldCharType="end"/>
      </w:r>
    </w:p>
    <w:p w14:paraId="1B7E952D" w14:textId="01D815FC" w:rsidR="006E2E62" w:rsidRDefault="006E2E62">
      <w:pPr>
        <w:pStyle w:val="TOC3"/>
        <w:rPr>
          <w:rFonts w:asciiTheme="minorHAnsi" w:eastAsiaTheme="minorEastAsia" w:hAnsiTheme="minorHAnsi" w:cstheme="minorBidi"/>
          <w:kern w:val="2"/>
          <w:sz w:val="24"/>
          <w:szCs w:val="24"/>
          <w:lang w:eastAsia="en-GB"/>
          <w14:ligatures w14:val="standardContextual"/>
        </w:rPr>
      </w:pPr>
      <w:r>
        <w:t>C.2.2</w:t>
      </w:r>
      <w:r>
        <w:tab/>
        <w:t>Convergence of the adaptive congestion control</w:t>
      </w:r>
      <w:r>
        <w:tab/>
      </w:r>
      <w:r>
        <w:fldChar w:fldCharType="begin"/>
      </w:r>
      <w:r>
        <w:instrText xml:space="preserve"> PAGEREF _Toc197337086 \h </w:instrText>
      </w:r>
      <w:r>
        <w:fldChar w:fldCharType="separate"/>
      </w:r>
      <w:r>
        <w:t>55</w:t>
      </w:r>
      <w:r>
        <w:fldChar w:fldCharType="end"/>
      </w:r>
    </w:p>
    <w:p w14:paraId="622DAFF8" w14:textId="5D07DBF6" w:rsidR="006E2E62" w:rsidRDefault="006E2E62">
      <w:pPr>
        <w:pStyle w:val="TOC4"/>
        <w:rPr>
          <w:rFonts w:asciiTheme="minorHAnsi" w:eastAsiaTheme="minorEastAsia" w:hAnsiTheme="minorHAnsi" w:cstheme="minorBidi"/>
          <w:kern w:val="2"/>
          <w:sz w:val="24"/>
          <w:szCs w:val="24"/>
          <w:lang w:eastAsia="en-GB"/>
          <w14:ligatures w14:val="standardContextual"/>
        </w:rPr>
      </w:pPr>
      <w:r>
        <w:t>C.2.2.1</w:t>
      </w:r>
      <w:r>
        <w:tab/>
        <w:t>Continuous time behaviour of the adaptive congestion control</w:t>
      </w:r>
      <w:r>
        <w:tab/>
      </w:r>
      <w:r>
        <w:fldChar w:fldCharType="begin"/>
      </w:r>
      <w:r>
        <w:instrText xml:space="preserve"> PAGEREF _Toc197337087 \h </w:instrText>
      </w:r>
      <w:r>
        <w:fldChar w:fldCharType="separate"/>
      </w:r>
      <w:r>
        <w:t>55</w:t>
      </w:r>
      <w:r>
        <w:fldChar w:fldCharType="end"/>
      </w:r>
    </w:p>
    <w:p w14:paraId="0DC4A805" w14:textId="6CD50E90" w:rsidR="006E2E62" w:rsidRDefault="006E2E62">
      <w:pPr>
        <w:pStyle w:val="TOC4"/>
        <w:rPr>
          <w:rFonts w:asciiTheme="minorHAnsi" w:eastAsiaTheme="minorEastAsia" w:hAnsiTheme="minorHAnsi" w:cstheme="minorBidi"/>
          <w:kern w:val="2"/>
          <w:sz w:val="24"/>
          <w:szCs w:val="24"/>
          <w:lang w:eastAsia="en-GB"/>
          <w14:ligatures w14:val="standardContextual"/>
        </w:rPr>
      </w:pPr>
      <w:r>
        <w:t>C.2.2.2</w:t>
      </w:r>
      <w:r>
        <w:tab/>
        <w:t>Stability of the discrete time adaptive congestion control</w:t>
      </w:r>
      <w:r>
        <w:tab/>
      </w:r>
      <w:r>
        <w:fldChar w:fldCharType="begin"/>
      </w:r>
      <w:r>
        <w:instrText xml:space="preserve"> PAGEREF _Toc197337088 \h </w:instrText>
      </w:r>
      <w:r>
        <w:fldChar w:fldCharType="separate"/>
      </w:r>
      <w:r>
        <w:t>56</w:t>
      </w:r>
      <w:r>
        <w:fldChar w:fldCharType="end"/>
      </w:r>
    </w:p>
    <w:p w14:paraId="4C6E8302" w14:textId="74DCEAC3" w:rsidR="006E2E62" w:rsidRDefault="006E2E62">
      <w:pPr>
        <w:pStyle w:val="TOC4"/>
        <w:rPr>
          <w:rFonts w:asciiTheme="minorHAnsi" w:eastAsiaTheme="minorEastAsia" w:hAnsiTheme="minorHAnsi" w:cstheme="minorBidi"/>
          <w:kern w:val="2"/>
          <w:sz w:val="24"/>
          <w:szCs w:val="24"/>
          <w:lang w:eastAsia="en-GB"/>
          <w14:ligatures w14:val="standardContextual"/>
        </w:rPr>
      </w:pPr>
      <w:r>
        <w:t>C.2.2.2</w:t>
      </w:r>
      <w:r>
        <w:tab/>
        <w:t>Convergence speed of the discrete time adaptive congestion control</w:t>
      </w:r>
      <w:r>
        <w:tab/>
      </w:r>
      <w:r>
        <w:fldChar w:fldCharType="begin"/>
      </w:r>
      <w:r>
        <w:instrText xml:space="preserve"> PAGEREF _Toc197337089 \h </w:instrText>
      </w:r>
      <w:r>
        <w:fldChar w:fldCharType="separate"/>
      </w:r>
      <w:r>
        <w:t>58</w:t>
      </w:r>
      <w:r>
        <w:fldChar w:fldCharType="end"/>
      </w:r>
    </w:p>
    <w:p w14:paraId="46A4D099" w14:textId="386113A8"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D: Channel load measurement</w:t>
      </w:r>
      <w:r>
        <w:tab/>
      </w:r>
      <w:r>
        <w:fldChar w:fldCharType="begin"/>
      </w:r>
      <w:r>
        <w:instrText xml:space="preserve"> PAGEREF _Toc197337090 \h </w:instrText>
      </w:r>
      <w:r>
        <w:fldChar w:fldCharType="separate"/>
      </w:r>
      <w:r>
        <w:t>61</w:t>
      </w:r>
      <w:r>
        <w:fldChar w:fldCharType="end"/>
      </w:r>
    </w:p>
    <w:p w14:paraId="3BE35480" w14:textId="4D768454"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E: Evaluation of basic RM solution</w:t>
      </w:r>
      <w:r>
        <w:tab/>
      </w:r>
      <w:r>
        <w:fldChar w:fldCharType="begin"/>
      </w:r>
      <w:r>
        <w:instrText xml:space="preserve"> PAGEREF _Toc197337091 \h </w:instrText>
      </w:r>
      <w:r>
        <w:fldChar w:fldCharType="separate"/>
      </w:r>
      <w:r>
        <w:t>64</w:t>
      </w:r>
      <w:r>
        <w:fldChar w:fldCharType="end"/>
      </w:r>
    </w:p>
    <w:p w14:paraId="1B2D80F4" w14:textId="40DB9426" w:rsidR="006E2E62" w:rsidRDefault="006E2E62">
      <w:pPr>
        <w:pStyle w:val="TOC2"/>
        <w:rPr>
          <w:rFonts w:asciiTheme="minorHAnsi" w:eastAsiaTheme="minorEastAsia" w:hAnsiTheme="minorHAnsi" w:cstheme="minorBidi"/>
          <w:kern w:val="2"/>
          <w:sz w:val="24"/>
          <w:szCs w:val="24"/>
          <w:lang w:eastAsia="en-GB"/>
          <w14:ligatures w14:val="standardContextual"/>
        </w:rPr>
      </w:pPr>
      <w:r>
        <w:t>C.1</w:t>
      </w:r>
      <w:r>
        <w:tab/>
        <w:t>Evaluation set-up</w:t>
      </w:r>
      <w:r>
        <w:tab/>
      </w:r>
      <w:r>
        <w:fldChar w:fldCharType="begin"/>
      </w:r>
      <w:r>
        <w:instrText xml:space="preserve"> PAGEREF _Toc197337092 \h </w:instrText>
      </w:r>
      <w:r>
        <w:fldChar w:fldCharType="separate"/>
      </w:r>
      <w:r>
        <w:t>64</w:t>
      </w:r>
      <w:r>
        <w:fldChar w:fldCharType="end"/>
      </w:r>
    </w:p>
    <w:p w14:paraId="3BB8CAEF" w14:textId="0B8CD184" w:rsidR="006E2E62" w:rsidRDefault="006E2E62">
      <w:pPr>
        <w:pStyle w:val="TOC2"/>
        <w:rPr>
          <w:rFonts w:asciiTheme="minorHAnsi" w:eastAsiaTheme="minorEastAsia" w:hAnsiTheme="minorHAnsi" w:cstheme="minorBidi"/>
          <w:kern w:val="2"/>
          <w:sz w:val="24"/>
          <w:szCs w:val="24"/>
          <w:lang w:eastAsia="en-GB"/>
          <w14:ligatures w14:val="standardContextual"/>
        </w:rPr>
      </w:pPr>
      <w:r>
        <w:t>C.2</w:t>
      </w:r>
      <w:r>
        <w:tab/>
        <w:t>Results</w:t>
      </w:r>
      <w:r>
        <w:tab/>
      </w:r>
      <w:r>
        <w:fldChar w:fldCharType="begin"/>
      </w:r>
      <w:r>
        <w:instrText xml:space="preserve"> PAGEREF _Toc197337093 \h </w:instrText>
      </w:r>
      <w:r>
        <w:fldChar w:fldCharType="separate"/>
      </w:r>
      <w:r>
        <w:t>64</w:t>
      </w:r>
      <w:r>
        <w:fldChar w:fldCharType="end"/>
      </w:r>
    </w:p>
    <w:p w14:paraId="3B4E18CD" w14:textId="75CBCBAB" w:rsidR="006E2E62" w:rsidRDefault="006E2E62">
      <w:pPr>
        <w:pStyle w:val="TOC9"/>
        <w:rPr>
          <w:rFonts w:asciiTheme="minorHAnsi" w:eastAsiaTheme="minorEastAsia" w:hAnsiTheme="minorHAnsi" w:cstheme="minorBidi"/>
          <w:b w:val="0"/>
          <w:kern w:val="2"/>
          <w:sz w:val="24"/>
          <w:szCs w:val="24"/>
          <w:lang w:eastAsia="en-GB"/>
          <w14:ligatures w14:val="standardContextual"/>
        </w:rPr>
      </w:pPr>
      <w:r>
        <w:t>Annex: Change history</w:t>
      </w:r>
      <w:r>
        <w:tab/>
      </w:r>
      <w:r>
        <w:fldChar w:fldCharType="begin"/>
      </w:r>
      <w:r>
        <w:instrText xml:space="preserve"> PAGEREF _Toc197337094 \h </w:instrText>
      </w:r>
      <w:r>
        <w:fldChar w:fldCharType="separate"/>
      </w:r>
      <w:r>
        <w:t>66</w:t>
      </w:r>
      <w:r>
        <w:fldChar w:fldCharType="end"/>
      </w:r>
    </w:p>
    <w:p w14:paraId="3E1A527B" w14:textId="66EB12F6" w:rsidR="006E2E62" w:rsidRDefault="006E2E62">
      <w:pPr>
        <w:pStyle w:val="TOC1"/>
        <w:rPr>
          <w:rFonts w:asciiTheme="minorHAnsi" w:eastAsiaTheme="minorEastAsia" w:hAnsiTheme="minorHAnsi" w:cstheme="minorBidi"/>
          <w:kern w:val="2"/>
          <w:sz w:val="24"/>
          <w:szCs w:val="24"/>
          <w:lang w:eastAsia="en-GB"/>
          <w14:ligatures w14:val="standardContextual"/>
        </w:rPr>
      </w:pPr>
      <w:r>
        <w:t>History</w:t>
      </w:r>
      <w:r>
        <w:tab/>
      </w:r>
      <w:r>
        <w:fldChar w:fldCharType="begin"/>
      </w:r>
      <w:r>
        <w:instrText xml:space="preserve"> PAGEREF _Toc197337095 \h </w:instrText>
      </w:r>
      <w:r>
        <w:fldChar w:fldCharType="separate"/>
      </w:r>
      <w:r>
        <w:t>67</w:t>
      </w:r>
      <w:r>
        <w:fldChar w:fldCharType="end"/>
      </w:r>
    </w:p>
    <w:p w14:paraId="348B10C7" w14:textId="12DB02A4" w:rsidR="00BB6418" w:rsidRPr="00F54712" w:rsidRDefault="0078691B" w:rsidP="00F445AD">
      <w:pPr>
        <w:tabs>
          <w:tab w:val="left" w:pos="7655"/>
        </w:tabs>
      </w:pPr>
      <w:r>
        <w:fldChar w:fldCharType="end"/>
      </w:r>
    </w:p>
    <w:p w14:paraId="560F6162" w14:textId="77777777" w:rsidR="00172200" w:rsidRPr="00F54712" w:rsidRDefault="00BB6418" w:rsidP="00882573">
      <w:pPr>
        <w:spacing w:after="0"/>
        <w:ind w:left="-567"/>
        <w:rPr>
          <w:rStyle w:val="Guidance"/>
          <w:rFonts w:ascii="Arial" w:hAnsi="Arial" w:cs="Arial"/>
          <w:sz w:val="18"/>
          <w:szCs w:val="18"/>
        </w:rPr>
      </w:pPr>
      <w:r w:rsidRPr="00F54712">
        <w:rPr>
          <w:szCs w:val="36"/>
        </w:rPr>
        <w:br w:type="page"/>
      </w:r>
    </w:p>
    <w:p w14:paraId="2717C432" w14:textId="77777777" w:rsidR="00BB6418" w:rsidRPr="00F54712" w:rsidRDefault="00BB6418" w:rsidP="00787554">
      <w:pPr>
        <w:pStyle w:val="Heading1"/>
      </w:pPr>
      <w:bookmarkStart w:id="15" w:name="_Toc451532663"/>
      <w:bookmarkStart w:id="16" w:name="_Toc487531422"/>
      <w:bookmarkStart w:id="17" w:name="_Toc527986725"/>
      <w:bookmarkStart w:id="18" w:name="_Toc67666480"/>
      <w:bookmarkStart w:id="19" w:name="_Toc67667087"/>
      <w:bookmarkStart w:id="20" w:name="_Toc69827354"/>
      <w:bookmarkStart w:id="21" w:name="_Toc197336985"/>
      <w:r w:rsidRPr="00F54712">
        <w:t>Intellectual Property Rights</w:t>
      </w:r>
      <w:bookmarkEnd w:id="15"/>
      <w:bookmarkEnd w:id="16"/>
      <w:bookmarkEnd w:id="17"/>
      <w:bookmarkEnd w:id="18"/>
      <w:bookmarkEnd w:id="19"/>
      <w:bookmarkEnd w:id="20"/>
      <w:bookmarkEnd w:id="21"/>
    </w:p>
    <w:p w14:paraId="55CE729A" w14:textId="77777777" w:rsidR="00D83CB3" w:rsidRPr="00D579D5" w:rsidRDefault="00D83CB3" w:rsidP="00D83CB3">
      <w:pPr>
        <w:pStyle w:val="H6"/>
      </w:pPr>
      <w:r w:rsidRPr="00D579D5">
        <w:t xml:space="preserve">Essential patents </w:t>
      </w:r>
    </w:p>
    <w:p w14:paraId="6C0F5FE0" w14:textId="244D7D0A" w:rsidR="00D83CB3" w:rsidRPr="00D579D5" w:rsidRDefault="00D83CB3" w:rsidP="00D83CB3">
      <w:r w:rsidRPr="00D579D5">
        <w:t xml:space="preserve">IPRs essential or potentially essential to </w:t>
      </w:r>
      <w:r w:rsidR="00663363">
        <w:t>normative deliverables</w:t>
      </w:r>
      <w:r w:rsidRPr="00D579D5">
        <w:t xml:space="preserve"> may have been declared to ETSI. The </w:t>
      </w:r>
      <w:r w:rsidR="00C35B43" w:rsidRPr="00C35B43">
        <w:t xml:space="preserve">declarations </w:t>
      </w:r>
      <w:r w:rsidRPr="00D579D5">
        <w:t xml:space="preserve">pertaining to these essential IPRs, if any, </w:t>
      </w:r>
      <w:r w:rsidR="00C35B43">
        <w:t>are</w:t>
      </w:r>
      <w:r w:rsidR="00C35B43" w:rsidRPr="00D579D5">
        <w:t xml:space="preserve"> </w:t>
      </w:r>
      <w:r w:rsidRPr="00D579D5">
        <w:t xml:space="preserve">publicly available for </w:t>
      </w:r>
      <w:r w:rsidRPr="00D579D5">
        <w:rPr>
          <w:b/>
          <w:bCs/>
        </w:rPr>
        <w:t>ETSI members and non-members</w:t>
      </w:r>
      <w:r w:rsidRPr="00D579D5">
        <w:t xml:space="preserve">, and can be found in ETSI SR 000 314: </w:t>
      </w:r>
      <w:r w:rsidRPr="00D579D5">
        <w:rPr>
          <w:i/>
          <w:iCs/>
        </w:rPr>
        <w:t>"Intellectual Property Rights (IPRs); Essential, or potentially Essential, IPRs notified to ETSI in respect of ETSI standards"</w:t>
      </w:r>
      <w:r w:rsidRPr="00D579D5">
        <w:t>, which is available from the ETSI Secretariat. Latest updates are available on the ETSI Web server (</w:t>
      </w:r>
      <w:hyperlink r:id="rId15" w:history="1">
        <w:r w:rsidRPr="00D579D5">
          <w:rPr>
            <w:rStyle w:val="Hyperlink"/>
          </w:rPr>
          <w:t>https://ipr.etsi.org</w:t>
        </w:r>
      </w:hyperlink>
      <w:r w:rsidRPr="00D579D5">
        <w:t>).</w:t>
      </w:r>
    </w:p>
    <w:p w14:paraId="24DDFDBA" w14:textId="313D14B2" w:rsidR="00D83CB3" w:rsidRPr="00D579D5" w:rsidRDefault="00D83CB3" w:rsidP="00D83CB3">
      <w:r w:rsidRPr="00D579D5">
        <w:t xml:space="preserve">Pursuant to the ETSI </w:t>
      </w:r>
      <w:r w:rsidR="00C35B43" w:rsidRPr="00C35B43">
        <w:t xml:space="preserve">Directives including the ETSI </w:t>
      </w:r>
      <w:r w:rsidRPr="00D579D5">
        <w:t>IPR Policy, no investigation</w:t>
      </w:r>
      <w:r w:rsidR="00C35B43" w:rsidRPr="00C35B43">
        <w:t xml:space="preserve"> regarding the essentiality of IPRs</w:t>
      </w:r>
      <w:r w:rsidRPr="00D579D5">
        <w:t>, including IPR searches, has been carried out by ETSI. No guarantee can be given as to the existence of other IPRs not referenced in ETSI SR 000 314 (or the updates on the ETSI Web server) which are, or may be, or may become, essential to the present document.</w:t>
      </w:r>
    </w:p>
    <w:p w14:paraId="735B8B07" w14:textId="77777777" w:rsidR="00D83CB3" w:rsidRPr="00D579D5" w:rsidRDefault="00D83CB3" w:rsidP="00D83CB3">
      <w:pPr>
        <w:pStyle w:val="H6"/>
      </w:pPr>
      <w:r w:rsidRPr="00D579D5">
        <w:t>Trademarks</w:t>
      </w:r>
    </w:p>
    <w:p w14:paraId="19F1902B" w14:textId="048CF78A" w:rsidR="00995BDD" w:rsidRDefault="00D83CB3" w:rsidP="00D83CB3">
      <w:r w:rsidRPr="00D579D5">
        <w:t xml:space="preserve">The present document may include trademarks and/or tradenames which are asserted and/or registered by their owners. ETSI claims no ownership of these except for any which are indicated as being the property of </w:t>
      </w:r>
      <w:r w:rsidR="00A63FE0" w:rsidRPr="00D579D5">
        <w:t>ETSI and</w:t>
      </w:r>
      <w:r w:rsidRPr="00D579D5">
        <w:t xml:space="preserve"> conveys no right to use or reproduce any trademark and/or tradename. Mention of those trademarks in the present document does not constitute an endorsement by ETSI of products, services or organizations associated with those trademarks.</w:t>
      </w:r>
    </w:p>
    <w:p w14:paraId="4BCB51CF" w14:textId="39A510D5" w:rsidR="00C35B43" w:rsidRPr="00F54712" w:rsidRDefault="0049555D" w:rsidP="00D83CB3">
      <w:r>
        <w:rPr>
          <w:b/>
          <w:bCs/>
        </w:rPr>
        <w:t>DECT™</w:t>
      </w:r>
      <w:r>
        <w:t xml:space="preserve">, </w:t>
      </w:r>
      <w:r>
        <w:rPr>
          <w:b/>
          <w:bCs/>
        </w:rPr>
        <w:t>PLUGTESTS™</w:t>
      </w:r>
      <w:r>
        <w:t xml:space="preserve">, </w:t>
      </w:r>
      <w:r>
        <w:rPr>
          <w:b/>
          <w:bCs/>
        </w:rPr>
        <w:t>UMTS™</w:t>
      </w:r>
      <w:r>
        <w:t xml:space="preserve"> and the ETSI logo are trademarks of ETSI registered for the benefit of its </w:t>
      </w:r>
      <w:r w:rsidR="00A63FE0">
        <w:t>members</w:t>
      </w:r>
      <w:r>
        <w:t xml:space="preserve">. </w:t>
      </w:r>
      <w:r>
        <w:rPr>
          <w:b/>
          <w:bCs/>
        </w:rPr>
        <w:t>3GPP™</w:t>
      </w:r>
      <w:r>
        <w:rPr>
          <w:vertAlign w:val="superscript"/>
        </w:rPr>
        <w:t xml:space="preserve"> </w:t>
      </w:r>
      <w:r>
        <w:t xml:space="preserve">and </w:t>
      </w:r>
      <w:r>
        <w:rPr>
          <w:b/>
          <w:bCs/>
        </w:rPr>
        <w:t>LTE™</w:t>
      </w:r>
      <w:r>
        <w:t xml:space="preserve"> are trademarks of ETSI registered for the benefit of its </w:t>
      </w:r>
      <w:r w:rsidR="00A63FE0">
        <w:t>members</w:t>
      </w:r>
      <w:r>
        <w:t xml:space="preserve"> and of the 3GPP Organizational Partners. </w:t>
      </w:r>
      <w:r>
        <w:rPr>
          <w:b/>
          <w:bCs/>
        </w:rPr>
        <w:t>oneM2M™</w:t>
      </w:r>
      <w:r>
        <w:t xml:space="preserve"> logo is a trademark of ETSI registered for the benefit of its </w:t>
      </w:r>
      <w:r w:rsidR="00A63FE0">
        <w:t>members</w:t>
      </w:r>
      <w:r>
        <w:t xml:space="preserve"> and of the oneM2M Partners. </w:t>
      </w:r>
      <w:r>
        <w:rPr>
          <w:b/>
          <w:bCs/>
        </w:rPr>
        <w:t>GSM</w:t>
      </w:r>
      <w:r>
        <w:rPr>
          <w:vertAlign w:val="superscript"/>
        </w:rPr>
        <w:t>®</w:t>
      </w:r>
      <w:r>
        <w:t xml:space="preserve"> and the GSM logo are trademarks registered and owned by the GSM Association.</w:t>
      </w:r>
    </w:p>
    <w:p w14:paraId="63348894" w14:textId="77777777" w:rsidR="00BB6418" w:rsidRPr="00F54712" w:rsidRDefault="00BB6418">
      <w:pPr>
        <w:pStyle w:val="Heading1"/>
      </w:pPr>
      <w:bookmarkStart w:id="22" w:name="_Toc451532664"/>
      <w:bookmarkStart w:id="23" w:name="_Toc487531423"/>
      <w:bookmarkStart w:id="24" w:name="_Toc527986726"/>
      <w:bookmarkStart w:id="25" w:name="_Toc67666481"/>
      <w:bookmarkStart w:id="26" w:name="_Toc67667088"/>
      <w:bookmarkStart w:id="27" w:name="_Toc69827355"/>
      <w:bookmarkStart w:id="28" w:name="_Toc197336986"/>
      <w:r w:rsidRPr="00F54712">
        <w:t>Foreword</w:t>
      </w:r>
      <w:bookmarkEnd w:id="22"/>
      <w:bookmarkEnd w:id="23"/>
      <w:bookmarkEnd w:id="24"/>
      <w:bookmarkEnd w:id="25"/>
      <w:bookmarkEnd w:id="26"/>
      <w:bookmarkEnd w:id="27"/>
      <w:bookmarkEnd w:id="28"/>
    </w:p>
    <w:p w14:paraId="71687020" w14:textId="7F6C0892" w:rsidR="00BB6418" w:rsidRPr="00F54712" w:rsidRDefault="00BB6418">
      <w:r w:rsidRPr="00F54712">
        <w:t xml:space="preserve">This </w:t>
      </w:r>
      <w:bookmarkStart w:id="29" w:name="For_doctype"/>
      <w:r w:rsidRPr="00F54712">
        <w:t>Technical Report (TR)</w:t>
      </w:r>
      <w:bookmarkEnd w:id="29"/>
      <w:r w:rsidRPr="00F54712">
        <w:t xml:space="preserve"> has been produced by </w:t>
      </w:r>
      <w:bookmarkStart w:id="30" w:name="For_tbname"/>
      <w:r w:rsidRPr="00F54712">
        <w:t xml:space="preserve">ETSI </w:t>
      </w:r>
      <w:r w:rsidR="00D176B7">
        <w:t>TC ITS</w:t>
      </w:r>
      <w:bookmarkEnd w:id="30"/>
      <w:r w:rsidRPr="00F54712">
        <w:t>.</w:t>
      </w:r>
    </w:p>
    <w:p w14:paraId="4EA27E13" w14:textId="77777777" w:rsidR="00414E11" w:rsidRPr="00F54712" w:rsidRDefault="00882573" w:rsidP="00414E11">
      <w:pPr>
        <w:pStyle w:val="Heading1"/>
        <w:rPr>
          <w:b/>
        </w:rPr>
      </w:pPr>
      <w:bookmarkStart w:id="31" w:name="_Toc451532665"/>
      <w:bookmarkStart w:id="32" w:name="_Toc487531424"/>
      <w:bookmarkStart w:id="33" w:name="_Toc527986727"/>
      <w:bookmarkStart w:id="34" w:name="_Toc67666482"/>
      <w:bookmarkStart w:id="35" w:name="_Toc67667089"/>
      <w:bookmarkStart w:id="36" w:name="_Toc69827356"/>
      <w:bookmarkStart w:id="37" w:name="_Toc197336987"/>
      <w:r w:rsidRPr="00F54712">
        <w:t>Modal verbs terminology</w:t>
      </w:r>
      <w:bookmarkEnd w:id="31"/>
      <w:bookmarkEnd w:id="32"/>
      <w:bookmarkEnd w:id="33"/>
      <w:bookmarkEnd w:id="34"/>
      <w:bookmarkEnd w:id="35"/>
      <w:bookmarkEnd w:id="36"/>
      <w:bookmarkEnd w:id="37"/>
    </w:p>
    <w:p w14:paraId="4ACB81E2" w14:textId="092E12C3" w:rsidR="00882573" w:rsidRPr="00810C6B" w:rsidRDefault="00882573" w:rsidP="00882573">
      <w:r w:rsidRPr="00810C6B">
        <w:t>In the present document "</w:t>
      </w:r>
      <w:r w:rsidRPr="00810C6B">
        <w:rPr>
          <w:b/>
          <w:bCs/>
        </w:rPr>
        <w:t>should</w:t>
      </w:r>
      <w:r w:rsidRPr="00810C6B">
        <w:t>", "</w:t>
      </w:r>
      <w:r w:rsidRPr="00810C6B">
        <w:rPr>
          <w:b/>
          <w:bCs/>
        </w:rPr>
        <w:t>should not</w:t>
      </w:r>
      <w:r w:rsidRPr="00810C6B">
        <w:t>", "</w:t>
      </w:r>
      <w:r w:rsidRPr="00810C6B">
        <w:rPr>
          <w:b/>
          <w:bCs/>
        </w:rPr>
        <w:t>may</w:t>
      </w:r>
      <w:r w:rsidRPr="00810C6B">
        <w:t>", "</w:t>
      </w:r>
      <w:r w:rsidRPr="00810C6B">
        <w:rPr>
          <w:b/>
          <w:bCs/>
        </w:rPr>
        <w:t>need not</w:t>
      </w:r>
      <w:r w:rsidR="00454E34" w:rsidRPr="00810C6B">
        <w:t>", "</w:t>
      </w:r>
      <w:r w:rsidRPr="00810C6B">
        <w:rPr>
          <w:b/>
          <w:bCs/>
        </w:rPr>
        <w:t>will</w:t>
      </w:r>
      <w:r w:rsidR="00454E34" w:rsidRPr="00810C6B">
        <w:rPr>
          <w:bCs/>
        </w:rPr>
        <w:t>"</w:t>
      </w:r>
      <w:r w:rsidRPr="00810C6B">
        <w:t xml:space="preserve">, </w:t>
      </w:r>
      <w:r w:rsidR="00454E34" w:rsidRPr="00810C6B">
        <w:rPr>
          <w:bCs/>
        </w:rPr>
        <w:t>"</w:t>
      </w:r>
      <w:r w:rsidRPr="00810C6B">
        <w:rPr>
          <w:b/>
          <w:bCs/>
        </w:rPr>
        <w:t>will not</w:t>
      </w:r>
      <w:r w:rsidR="00454E34" w:rsidRPr="00810C6B">
        <w:rPr>
          <w:bCs/>
        </w:rPr>
        <w:t>"</w:t>
      </w:r>
      <w:r w:rsidRPr="00810C6B">
        <w:t>, "</w:t>
      </w:r>
      <w:r w:rsidRPr="00810C6B">
        <w:rPr>
          <w:b/>
          <w:bCs/>
        </w:rPr>
        <w:t>can</w:t>
      </w:r>
      <w:r w:rsidRPr="00810C6B">
        <w:t>" and "</w:t>
      </w:r>
      <w:r w:rsidRPr="00810C6B">
        <w:rPr>
          <w:b/>
          <w:bCs/>
        </w:rPr>
        <w:t>cannot</w:t>
      </w:r>
      <w:r w:rsidRPr="00810C6B">
        <w:t xml:space="preserve">" are to be interpreted as described in </w:t>
      </w:r>
      <w:r w:rsidR="004A3FC7">
        <w:t>clause</w:t>
      </w:r>
      <w:r w:rsidRPr="00810C6B">
        <w:t xml:space="preserve"> 3.2 of the </w:t>
      </w:r>
      <w:hyperlink r:id="rId16" w:history="1">
        <w:r w:rsidRPr="00810C6B">
          <w:rPr>
            <w:rStyle w:val="Hyperlink"/>
          </w:rPr>
          <w:t>ETSI Drafting Rules</w:t>
        </w:r>
      </w:hyperlink>
      <w:r w:rsidRPr="00810C6B">
        <w:t xml:space="preserve"> (Verbal forms for the expression of provisions).</w:t>
      </w:r>
    </w:p>
    <w:p w14:paraId="7C4292EA" w14:textId="77777777" w:rsidR="00882573" w:rsidRPr="00810C6B" w:rsidRDefault="00882573" w:rsidP="00882573">
      <w:r w:rsidRPr="00810C6B">
        <w:t>"</w:t>
      </w:r>
      <w:r w:rsidRPr="00810C6B">
        <w:rPr>
          <w:b/>
          <w:bCs/>
        </w:rPr>
        <w:t>must</w:t>
      </w:r>
      <w:r w:rsidRPr="00810C6B">
        <w:t>" and "</w:t>
      </w:r>
      <w:r w:rsidRPr="00810C6B">
        <w:rPr>
          <w:b/>
          <w:bCs/>
        </w:rPr>
        <w:t>must not</w:t>
      </w:r>
      <w:r w:rsidRPr="00810C6B">
        <w:t xml:space="preserve">" are </w:t>
      </w:r>
      <w:r w:rsidRPr="00810C6B">
        <w:rPr>
          <w:b/>
          <w:bCs/>
        </w:rPr>
        <w:t>NOT</w:t>
      </w:r>
      <w:r w:rsidRPr="00810C6B">
        <w:t xml:space="preserve"> allowed in ETSI deliverables except when used in direct citation.</w:t>
      </w:r>
    </w:p>
    <w:p w14:paraId="7D6FD6B3" w14:textId="77777777" w:rsidR="009A2D0B" w:rsidRPr="00F54712" w:rsidRDefault="009A2D0B" w:rsidP="009A2D0B">
      <w:pPr>
        <w:pStyle w:val="Heading1"/>
      </w:pPr>
      <w:bookmarkStart w:id="38" w:name="_Toc451532667"/>
      <w:bookmarkStart w:id="39" w:name="_Toc487531426"/>
      <w:bookmarkStart w:id="40" w:name="_Toc527986729"/>
      <w:bookmarkStart w:id="41" w:name="_Toc67666484"/>
      <w:bookmarkStart w:id="42" w:name="_Toc67667091"/>
      <w:bookmarkStart w:id="43" w:name="_Toc69827358"/>
      <w:bookmarkStart w:id="44" w:name="_Toc197336988"/>
      <w:r w:rsidRPr="00F54712">
        <w:t>Introduction</w:t>
      </w:r>
      <w:bookmarkEnd w:id="38"/>
      <w:bookmarkEnd w:id="39"/>
      <w:bookmarkEnd w:id="40"/>
      <w:bookmarkEnd w:id="41"/>
      <w:bookmarkEnd w:id="42"/>
      <w:bookmarkEnd w:id="43"/>
      <w:bookmarkEnd w:id="44"/>
    </w:p>
    <w:p w14:paraId="58B84AC4" w14:textId="77777777" w:rsidR="003C1F08" w:rsidRDefault="003C1F08" w:rsidP="003C1F08">
      <w:r>
        <w:t xml:space="preserve">Initial Cooperative Intelligent Transportation Systems (C-ITS) Release 1 standards have been developed from out of the perspective of static information dissemination in which the applications and facilities layer services (ITS-Station (ITS-S) services) have no knowledge of the transmission capabilities in the available radio channels. </w:t>
      </w:r>
    </w:p>
    <w:p w14:paraId="31192E4D" w14:textId="77777777" w:rsidR="003C1F08" w:rsidRDefault="003C1F08" w:rsidP="003C1F08">
      <w:r>
        <w:t>As the number of the applications and services provided by the facilities layer in Release 1 is limited, validations have shown</w:t>
      </w:r>
      <w:r w:rsidRPr="00933DE0">
        <w:t xml:space="preserve"> </w:t>
      </w:r>
      <w:r>
        <w:t>that a predictable performance of these applications and ITS-S services can be realized, as long as there is a radio channel use agreement among stakeholders establishing an acceptable system/radio channel(s) behaviour. This is especially true since the Release 1 ITS services have a limited safety impact and by the C-ITS trust established by these stakeholder agreement and related C-ITS security.</w:t>
      </w:r>
    </w:p>
    <w:p w14:paraId="2E12056F" w14:textId="77777777" w:rsidR="003C1F08" w:rsidRDefault="003C1F08" w:rsidP="003C1F08">
      <w:r>
        <w:t>In Release 2 the ITS services are being introduced which have a higher safety impact. The introduction of these ITS services lead to significant higher Quality of Service (QoS) and Trustworthiness (TWN) requirements. Requirements which include higher dynamic data-frame transmission needs.  As it is a given, that C_ITS data transmissions are mostly</w:t>
      </w:r>
      <w:r w:rsidRPr="00734EC3">
        <w:t xml:space="preserve"> non-deterministic</w:t>
      </w:r>
      <w:r>
        <w:t>, the management of QoS in the network is limited, and that the applications and ITS-S services are the only functionalities which can know the importance and impact of being able and being not able to exchange relevant information, further improvement of the QoS and TWN should be handled by the applications and ITS-S services themselves by begin aware of the underlying transmission capabilities. Such knowledge enables the applications and ITS-S services to take appropriate measures in occurring communication situations.</w:t>
      </w:r>
    </w:p>
    <w:p w14:paraId="0467356A" w14:textId="77777777" w:rsidR="003C1F08" w:rsidRDefault="003C1F08" w:rsidP="003C1F08">
      <w:r>
        <w:t>As applications and ITS-S services do not know about the existence of other active applications and ITS-S services a general functionality which can keep track of all active applications and ITS-S services as well as being aware of all the available ITS-S lower layer functionalities and channel(s) should enable to increase the QoS and TWN. This functionality should be technology neutral and reside at the Facilities Layer (FL). Such functionality will manage the resources among the applications and ITS-S services and therefore called Resource Management (RM).</w:t>
      </w:r>
    </w:p>
    <w:p w14:paraId="0678DEEE" w14:textId="77777777" w:rsidR="003C1F08" w:rsidRDefault="003C1F08" w:rsidP="003C1F08">
      <w:r>
        <w:t>This study focusses on possible RM approached such that it can derive one favourable basic concept and implementation. As bases earlier results from the Multi</w:t>
      </w:r>
      <w:r>
        <w:rPr>
          <w:lang w:val="en-US"/>
        </w:rPr>
        <w:t>-Channel Operation (MCO)</w:t>
      </w:r>
      <w:r>
        <w:t xml:space="preserve"> study for Release 2, see TR 103 439 </w:t>
      </w:r>
      <w:r>
        <w:fldChar w:fldCharType="begin"/>
      </w:r>
      <w:r>
        <w:instrText xml:space="preserve"> REF ETSI_TR103439 \h </w:instrText>
      </w:r>
      <w:r>
        <w:fldChar w:fldCharType="separate"/>
      </w:r>
      <w:r w:rsidRPr="00913ABF">
        <w:t>[i.</w:t>
      </w:r>
      <w:r>
        <w:t>1</w:t>
      </w:r>
      <w:r w:rsidRPr="00913ABF">
        <w:t>]</w:t>
      </w:r>
      <w:r>
        <w:fldChar w:fldCharType="end"/>
      </w:r>
      <w:r>
        <w:t xml:space="preserve"> have been used.</w:t>
      </w:r>
    </w:p>
    <w:p w14:paraId="660D0582" w14:textId="77777777" w:rsidR="003C1F08" w:rsidRDefault="003C1F08" w:rsidP="003C1F08">
      <w:r>
        <w:t xml:space="preserve">Any technology agnostic RM relies on proper information from lower payers about the dissemination possibilities and should ensure no harmful interference can be caused by adjacent channel operations. The MCO study, see TR 103 439 </w:t>
      </w:r>
      <w:r>
        <w:fldChar w:fldCharType="begin"/>
      </w:r>
      <w:r>
        <w:instrText xml:space="preserve"> REF ETSI_TR103439 \h </w:instrText>
      </w:r>
      <w:r>
        <w:fldChar w:fldCharType="separate"/>
      </w:r>
      <w:r w:rsidRPr="00913ABF">
        <w:t>[i.</w:t>
      </w:r>
      <w:r>
        <w:t>1</w:t>
      </w:r>
      <w:r w:rsidRPr="00913ABF">
        <w:t>]</w:t>
      </w:r>
      <w:r>
        <w:fldChar w:fldCharType="end"/>
      </w:r>
      <w:r>
        <w:t xml:space="preserve"> showed that there are congestion requirements to comply to to realize this non-interference.</w:t>
      </w:r>
    </w:p>
    <w:p w14:paraId="1C993D25" w14:textId="77777777" w:rsidR="003C1F08" w:rsidRDefault="003C1F08" w:rsidP="003C1F08">
      <w:r>
        <w:t>This study therefore also studies the related requirements which should be set for lower layers and how these should interface to higher layers. This study investigates the maximization of technology agnostic parameter exchange between lower layers and the FL. These parameters relate mostly towards Congestion Control and its optimization.</w:t>
      </w:r>
    </w:p>
    <w:p w14:paraId="3DCB8404" w14:textId="77777777" w:rsidR="003C1F08" w:rsidRDefault="003C1F08" w:rsidP="003C1F08">
      <w:r>
        <w:t xml:space="preserve">As Congestion Control handling at MAC/PHY layers can be handled different for different technologies, these aspects have to be technology dependently investigated. </w:t>
      </w:r>
    </w:p>
    <w:p w14:paraId="4394638C" w14:textId="77777777" w:rsidR="003C1F08" w:rsidRDefault="003C1F08" w:rsidP="003C1F08">
      <w:r>
        <w:t xml:space="preserve">The present study only addresses the ITS-G5 technology and therefore also only the related adjacent channel operation aspects. As Identified in TR 013 439 </w:t>
      </w:r>
      <w:r>
        <w:fldChar w:fldCharType="begin"/>
      </w:r>
      <w:r>
        <w:instrText xml:space="preserve"> REF ETSI_TR103439 \h </w:instrText>
      </w:r>
      <w:r>
        <w:fldChar w:fldCharType="separate"/>
      </w:r>
      <w:r w:rsidRPr="00913ABF">
        <w:t>[i.</w:t>
      </w:r>
      <w:r>
        <w:t>1</w:t>
      </w:r>
      <w:r w:rsidRPr="00913ABF">
        <w:t>]</w:t>
      </w:r>
      <w:r>
        <w:fldChar w:fldCharType="end"/>
      </w:r>
      <w:r>
        <w:t xml:space="preserve"> adjacent channel interference is technology agnostic further studies related to adjacent interference management when other technologies such as C-V2X should lead to non-interference between different technologies. This study is out of scope of the current study.</w:t>
      </w:r>
    </w:p>
    <w:p w14:paraId="656904FC" w14:textId="15A64FE2" w:rsidR="000C3A1F" w:rsidRDefault="002D4E09" w:rsidP="000C3A1F">
      <w:r>
        <w:t xml:space="preserve">There are </w:t>
      </w:r>
      <w:r w:rsidR="003D43CB">
        <w:t>several</w:t>
      </w:r>
      <w:r>
        <w:t xml:space="preserve"> aspects to be investigated before a Resource Management solution can be defined. </w:t>
      </w:r>
      <w:r w:rsidR="000C3A1F">
        <w:t xml:space="preserve">The present report addresses three specific aspects </w:t>
      </w:r>
      <w:r w:rsidR="00C457BC">
        <w:t xml:space="preserve">that need </w:t>
      </w:r>
      <w:r w:rsidR="000C3A1F">
        <w:t xml:space="preserve">to be </w:t>
      </w:r>
      <w:r w:rsidR="00C457BC">
        <w:t xml:space="preserve">addressed for the definition </w:t>
      </w:r>
      <w:r w:rsidR="000C69A0">
        <w:t>of ITS</w:t>
      </w:r>
      <w:r w:rsidR="000C3A1F">
        <w:t xml:space="preserve"> resource management</w:t>
      </w:r>
      <w:r w:rsidR="00C457BC">
        <w:t xml:space="preserve"> solutions</w:t>
      </w:r>
      <w:r w:rsidR="000C3A1F">
        <w:t xml:space="preserve">. </w:t>
      </w:r>
      <w:r w:rsidR="00C457BC">
        <w:t xml:space="preserve">They </w:t>
      </w:r>
      <w:r w:rsidR="000C3A1F">
        <w:t xml:space="preserve">include </w:t>
      </w:r>
      <w:r w:rsidR="003D43CB">
        <w:t xml:space="preserve">the analyses of the </w:t>
      </w:r>
      <w:r w:rsidR="000C3A1F">
        <w:t xml:space="preserve">Release 2 ITS-S </w:t>
      </w:r>
      <w:r w:rsidR="003D43CB">
        <w:t>s</w:t>
      </w:r>
      <w:r w:rsidR="000C3A1F">
        <w:t>ervices,</w:t>
      </w:r>
      <w:r w:rsidR="003D43CB">
        <w:t xml:space="preserve"> the i</w:t>
      </w:r>
      <w:r w:rsidR="000C3A1F">
        <w:t xml:space="preserve">dentification of Congestion Control (CC) </w:t>
      </w:r>
      <w:r w:rsidR="003D43CB">
        <w:t>o</w:t>
      </w:r>
      <w:r w:rsidR="000C3A1F">
        <w:t xml:space="preserve">ptimization possibilities and </w:t>
      </w:r>
      <w:r w:rsidR="003D43CB">
        <w:t xml:space="preserve">the </w:t>
      </w:r>
      <w:r w:rsidR="004C1E6D">
        <w:t>i</w:t>
      </w:r>
      <w:r w:rsidR="000C3A1F">
        <w:t xml:space="preserve">dentification of the </w:t>
      </w:r>
      <w:r w:rsidR="00464D96">
        <w:t xml:space="preserve">adjacent channel interference management </w:t>
      </w:r>
      <w:r w:rsidR="00365464">
        <w:t>possibilities</w:t>
      </w:r>
      <w:r w:rsidR="000C3A1F">
        <w:t>.</w:t>
      </w:r>
    </w:p>
    <w:p w14:paraId="19B215ED" w14:textId="4A6B5EFF" w:rsidR="009A00D6" w:rsidRPr="000C3A1F" w:rsidRDefault="000C3A1F" w:rsidP="000C3A1F">
      <w:pPr>
        <w:rPr>
          <w:lang w:val="en-US"/>
        </w:rPr>
      </w:pPr>
      <w:r>
        <w:t>In further work</w:t>
      </w:r>
      <w:r w:rsidR="00C457BC">
        <w:t>,</w:t>
      </w:r>
      <w:r>
        <w:t xml:space="preserve"> aspects such as </w:t>
      </w:r>
      <w:r w:rsidRPr="000C3A1F">
        <w:t>CBR Management Method Selection</w:t>
      </w:r>
      <w:r>
        <w:t xml:space="preserve">s and the selection of a </w:t>
      </w:r>
      <w:r w:rsidRPr="000C3A1F">
        <w:t>CC Approach and Resource Management Process Selection</w:t>
      </w:r>
      <w:r>
        <w:t xml:space="preserve"> are aspects </w:t>
      </w:r>
      <w:r w:rsidR="002D4E09">
        <w:t xml:space="preserve">expected </w:t>
      </w:r>
      <w:r>
        <w:t xml:space="preserve">to be considered to come to full definition </w:t>
      </w:r>
      <w:r w:rsidR="00C457BC">
        <w:t xml:space="preserve">for </w:t>
      </w:r>
      <w:r>
        <w:t xml:space="preserve">a </w:t>
      </w:r>
      <w:r w:rsidR="00C457BC">
        <w:t xml:space="preserve">Release 2 resource management specification, compatible with </w:t>
      </w:r>
      <w:r>
        <w:t>Release 1.</w:t>
      </w:r>
    </w:p>
    <w:p w14:paraId="5FFFD6D9" w14:textId="0685C3C0" w:rsidR="00BB6418" w:rsidRPr="00F54712" w:rsidRDefault="00BB6418" w:rsidP="00F140CF">
      <w:pPr>
        <w:pStyle w:val="Heading1"/>
        <w:numPr>
          <w:ilvl w:val="0"/>
          <w:numId w:val="11"/>
        </w:numPr>
        <w:ind w:left="1134"/>
      </w:pPr>
      <w:bookmarkStart w:id="45" w:name="_Toc451532668"/>
      <w:bookmarkStart w:id="46" w:name="_Toc487531427"/>
      <w:bookmarkStart w:id="47" w:name="_Toc527986730"/>
      <w:bookmarkStart w:id="48" w:name="_Toc67666485"/>
      <w:bookmarkStart w:id="49" w:name="_Toc67667092"/>
      <w:bookmarkStart w:id="50" w:name="_Toc69827359"/>
      <w:bookmarkStart w:id="51" w:name="_Ref179117916"/>
      <w:bookmarkStart w:id="52" w:name="_Toc197336989"/>
      <w:r w:rsidRPr="00F54712">
        <w:t>Scope</w:t>
      </w:r>
      <w:bookmarkEnd w:id="45"/>
      <w:bookmarkEnd w:id="46"/>
      <w:bookmarkEnd w:id="47"/>
      <w:bookmarkEnd w:id="48"/>
      <w:bookmarkEnd w:id="49"/>
      <w:bookmarkEnd w:id="50"/>
      <w:bookmarkEnd w:id="51"/>
      <w:bookmarkEnd w:id="52"/>
    </w:p>
    <w:p w14:paraId="74E2340C" w14:textId="517687A5" w:rsidR="00787554" w:rsidRPr="00F54712" w:rsidRDefault="00787554" w:rsidP="00787554">
      <w:r w:rsidRPr="00F54712">
        <w:t>The present document</w:t>
      </w:r>
      <w:r w:rsidR="00D176B7">
        <w:t xml:space="preserve"> i</w:t>
      </w:r>
      <w:r w:rsidR="00D176B7" w:rsidRPr="00D176B7">
        <w:t>dentif</w:t>
      </w:r>
      <w:r w:rsidR="00D176B7">
        <w:t xml:space="preserve">ies </w:t>
      </w:r>
      <w:r w:rsidR="00D176B7" w:rsidRPr="00D176B7">
        <w:t xml:space="preserve">Radio Resource Management (RRM) ITS-S </w:t>
      </w:r>
      <w:r w:rsidR="00D176B7">
        <w:t xml:space="preserve">related critical control requirements, capabilities, principles and parameters which could </w:t>
      </w:r>
      <w:r w:rsidR="00D176B7" w:rsidRPr="00D176B7">
        <w:t>enabl</w:t>
      </w:r>
      <w:r w:rsidR="00D176B7">
        <w:t>e the definition of a mechanism</w:t>
      </w:r>
      <w:r w:rsidR="00D176B7" w:rsidRPr="00D176B7">
        <w:t xml:space="preserve"> </w:t>
      </w:r>
      <w:r w:rsidR="00D176B7">
        <w:t xml:space="preserve">supporting </w:t>
      </w:r>
      <w:r w:rsidR="00D176B7" w:rsidRPr="00D176B7">
        <w:t xml:space="preserve">highly </w:t>
      </w:r>
      <w:r w:rsidR="0025784C">
        <w:t xml:space="preserve">time and size </w:t>
      </w:r>
      <w:r w:rsidR="00D176B7" w:rsidRPr="00D176B7">
        <w:t xml:space="preserve">dynamic data exchanging services to operate robust, interoperable and backward compatible with existing ITS Release 1 </w:t>
      </w:r>
      <w:r w:rsidR="00D176B7">
        <w:t>and upcoming Release 2 ITS</w:t>
      </w:r>
      <w:r w:rsidR="00D176B7" w:rsidRPr="00D176B7">
        <w:t xml:space="preserve"> services in the 5.9 GHz ITS allocated band.</w:t>
      </w:r>
    </w:p>
    <w:p w14:paraId="24F39BCF" w14:textId="6A5CC7AD" w:rsidR="009A2D0B" w:rsidRPr="00F54712" w:rsidRDefault="00787554" w:rsidP="00F140CF">
      <w:pPr>
        <w:pStyle w:val="Heading1"/>
        <w:numPr>
          <w:ilvl w:val="0"/>
          <w:numId w:val="11"/>
        </w:numPr>
        <w:ind w:left="1134"/>
      </w:pPr>
      <w:bookmarkStart w:id="53" w:name="_Toc451532669"/>
      <w:bookmarkStart w:id="54" w:name="_Toc487531428"/>
      <w:bookmarkStart w:id="55" w:name="_Toc527986731"/>
      <w:bookmarkStart w:id="56" w:name="_Toc67666486"/>
      <w:bookmarkStart w:id="57" w:name="_Toc67667093"/>
      <w:bookmarkStart w:id="58" w:name="_Toc69827360"/>
      <w:bookmarkStart w:id="59" w:name="_Toc197336990"/>
      <w:r w:rsidRPr="00F54712">
        <w:t>References</w:t>
      </w:r>
      <w:bookmarkEnd w:id="53"/>
      <w:bookmarkEnd w:id="54"/>
      <w:bookmarkEnd w:id="55"/>
      <w:bookmarkEnd w:id="56"/>
      <w:bookmarkEnd w:id="57"/>
      <w:bookmarkEnd w:id="58"/>
      <w:bookmarkEnd w:id="59"/>
    </w:p>
    <w:p w14:paraId="30AD19F5" w14:textId="457F6CBB" w:rsidR="00653A3B" w:rsidRPr="00F54712" w:rsidRDefault="00653A3B" w:rsidP="00F140CF">
      <w:pPr>
        <w:pStyle w:val="Heading2"/>
        <w:numPr>
          <w:ilvl w:val="1"/>
          <w:numId w:val="11"/>
        </w:numPr>
        <w:ind w:left="1134"/>
      </w:pPr>
      <w:bookmarkStart w:id="60" w:name="_Toc451532670"/>
      <w:bookmarkStart w:id="61" w:name="_Toc487531429"/>
      <w:bookmarkStart w:id="62" w:name="_Toc527986732"/>
      <w:bookmarkStart w:id="63" w:name="_Toc67666487"/>
      <w:bookmarkStart w:id="64" w:name="_Toc67667094"/>
      <w:bookmarkStart w:id="65" w:name="_Toc69827361"/>
      <w:bookmarkStart w:id="66" w:name="_Toc197336991"/>
      <w:r w:rsidRPr="00F54712">
        <w:t>Normative references</w:t>
      </w:r>
      <w:bookmarkEnd w:id="60"/>
      <w:bookmarkEnd w:id="61"/>
      <w:bookmarkEnd w:id="62"/>
      <w:bookmarkEnd w:id="63"/>
      <w:bookmarkEnd w:id="64"/>
      <w:bookmarkEnd w:id="65"/>
      <w:bookmarkEnd w:id="66"/>
    </w:p>
    <w:p w14:paraId="7BC9A9F6" w14:textId="77777777" w:rsidR="003420EA" w:rsidRDefault="003420EA" w:rsidP="003420EA">
      <w:r>
        <w:t>Normative references are not applicable in the present document.</w:t>
      </w:r>
    </w:p>
    <w:p w14:paraId="028A3A08" w14:textId="127EA33F" w:rsidR="00653A3B" w:rsidRPr="00F54712" w:rsidRDefault="00653A3B" w:rsidP="00F140CF">
      <w:pPr>
        <w:pStyle w:val="Heading2"/>
        <w:numPr>
          <w:ilvl w:val="1"/>
          <w:numId w:val="11"/>
        </w:numPr>
        <w:ind w:left="1134"/>
      </w:pPr>
      <w:bookmarkStart w:id="67" w:name="_Toc451532671"/>
      <w:bookmarkStart w:id="68" w:name="_Toc487531430"/>
      <w:bookmarkStart w:id="69" w:name="_Toc527986733"/>
      <w:bookmarkStart w:id="70" w:name="_Toc67666488"/>
      <w:bookmarkStart w:id="71" w:name="_Toc67667095"/>
      <w:bookmarkStart w:id="72" w:name="_Toc69827362"/>
      <w:bookmarkStart w:id="73" w:name="_Toc197336992"/>
      <w:r w:rsidRPr="00F54712">
        <w:t>Informative references</w:t>
      </w:r>
      <w:bookmarkEnd w:id="67"/>
      <w:bookmarkEnd w:id="68"/>
      <w:bookmarkEnd w:id="69"/>
      <w:bookmarkEnd w:id="70"/>
      <w:bookmarkEnd w:id="71"/>
      <w:bookmarkEnd w:id="72"/>
      <w:bookmarkEnd w:id="73"/>
    </w:p>
    <w:p w14:paraId="5D9BDBEA" w14:textId="77777777" w:rsidR="003C1F08" w:rsidRPr="00F54712" w:rsidRDefault="003C1F08" w:rsidP="001A2229">
      <w:r w:rsidRPr="00F54712">
        <w:rPr>
          <w:lang w:eastAsia="en-GB"/>
        </w:rPr>
        <w:t xml:space="preserve">The following referenced documents </w:t>
      </w:r>
      <w:r w:rsidRPr="00F54712">
        <w:t>assist the user with regard to a particular subject area.</w:t>
      </w:r>
    </w:p>
    <w:p w14:paraId="511E53D8" w14:textId="3560E10C" w:rsidR="000024A1" w:rsidRPr="00F54712" w:rsidRDefault="00207469" w:rsidP="000024A1">
      <w:pPr>
        <w:pStyle w:val="NO"/>
      </w:pPr>
      <w:r>
        <w:t>NOTE</w:t>
      </w:r>
      <w:r w:rsidR="000024A1" w:rsidRPr="00F54712">
        <w:t>:</w:t>
      </w:r>
      <w:r w:rsidR="000024A1" w:rsidRPr="00F54712">
        <w:tab/>
        <w:t xml:space="preserve">While any hyperlinks included in this </w:t>
      </w:r>
      <w:r w:rsidR="004A3FC7">
        <w:t>clause</w:t>
      </w:r>
      <w:r w:rsidR="000024A1" w:rsidRPr="00F54712">
        <w:t xml:space="preserve"> were valid at the time of publication ETSI cannot guarantee their </w:t>
      </w:r>
      <w:r w:rsidR="00365464" w:rsidRPr="00F54712">
        <w:t>long-term</w:t>
      </w:r>
      <w:r w:rsidR="000024A1" w:rsidRPr="00F54712">
        <w:t xml:space="preserve"> validity.</w:t>
      </w:r>
    </w:p>
    <w:p w14:paraId="1AEF11EF" w14:textId="2B755C2C" w:rsidR="002D4E09" w:rsidRDefault="002D4E09" w:rsidP="002D4E09">
      <w:pPr>
        <w:keepNext/>
        <w:ind w:left="1704" w:hanging="1420"/>
      </w:pPr>
      <w:bookmarkStart w:id="74" w:name="ETSI_TR103439"/>
      <w:r w:rsidRPr="00913ABF">
        <w:t>[i.</w:t>
      </w:r>
      <w:r>
        <w:t>1</w:t>
      </w:r>
      <w:r w:rsidRPr="00913ABF">
        <w:t>]</w:t>
      </w:r>
      <w:bookmarkEnd w:id="74"/>
      <w:r w:rsidRPr="00913ABF">
        <w:rPr>
          <w:rFonts w:ascii="Wingdings 3" w:hAnsi="Wingdings 3"/>
        </w:rPr>
        <w:tab/>
      </w:r>
      <w:r>
        <w:t>ETSI TR 103 439; “</w:t>
      </w:r>
      <w:r w:rsidRPr="001B0B6B">
        <w:t xml:space="preserve">Intelligent Transport Systems (ITS); </w:t>
      </w:r>
      <w:r>
        <w:t xml:space="preserve">Multi-Channel Operation Study; </w:t>
      </w:r>
      <w:r w:rsidRPr="001B0B6B">
        <w:t xml:space="preserve">Release </w:t>
      </w:r>
      <w:r>
        <w:t>2”</w:t>
      </w:r>
    </w:p>
    <w:p w14:paraId="3F38DA39" w14:textId="1CDFB290" w:rsidR="001B0B6B" w:rsidRPr="00F54712" w:rsidRDefault="001B0B6B" w:rsidP="001B0B6B">
      <w:pPr>
        <w:keepNext/>
        <w:ind w:left="284"/>
      </w:pPr>
      <w:bookmarkStart w:id="75" w:name="ETSI_TR101607"/>
      <w:r w:rsidRPr="00913ABF">
        <w:t>[i.</w:t>
      </w:r>
      <w:r w:rsidR="002D4E09">
        <w:t>2</w:t>
      </w:r>
      <w:r w:rsidRPr="00913ABF">
        <w:t>]</w:t>
      </w:r>
      <w:bookmarkEnd w:id="75"/>
      <w:r w:rsidRPr="00913ABF">
        <w:rPr>
          <w:rFonts w:ascii="Wingdings 3" w:hAnsi="Wingdings 3"/>
        </w:rPr>
        <w:tab/>
      </w:r>
      <w:r>
        <w:rPr>
          <w:rFonts w:ascii="Wingdings 3" w:hAnsi="Wingdings 3"/>
        </w:rPr>
        <w:tab/>
      </w:r>
      <w:r>
        <w:rPr>
          <w:rFonts w:ascii="Wingdings 3" w:hAnsi="Wingdings 3"/>
        </w:rPr>
        <w:tab/>
      </w:r>
      <w:r>
        <w:rPr>
          <w:rFonts w:ascii="Wingdings 3" w:hAnsi="Wingdings 3"/>
        </w:rPr>
        <w:tab/>
      </w:r>
      <w:r>
        <w:t>ETSI TR 101 607; “</w:t>
      </w:r>
      <w:r w:rsidRPr="001B0B6B">
        <w:t>Intelligent Transport Systems (ITS); Cooperative ITS (C-ITS); Release 1</w:t>
      </w:r>
      <w:r>
        <w:t>”</w:t>
      </w:r>
    </w:p>
    <w:p w14:paraId="31E00EB1" w14:textId="3AF9CE47" w:rsidR="00872DBB" w:rsidRDefault="00D83CB3" w:rsidP="00D83CB3">
      <w:pPr>
        <w:pStyle w:val="EX"/>
        <w:keepNext/>
      </w:pPr>
      <w:bookmarkStart w:id="76" w:name="ISO_26262_9"/>
      <w:r w:rsidRPr="00913ABF">
        <w:t>[i.</w:t>
      </w:r>
      <w:r w:rsidR="002D4E09">
        <w:t>3</w:t>
      </w:r>
      <w:r w:rsidRPr="00913ABF">
        <w:t>]</w:t>
      </w:r>
      <w:bookmarkEnd w:id="76"/>
      <w:r w:rsidRPr="00913ABF">
        <w:rPr>
          <w:rFonts w:ascii="Wingdings 3" w:hAnsi="Wingdings 3"/>
          <w:color w:val="76923C"/>
        </w:rPr>
        <w:t></w:t>
      </w:r>
      <w:r w:rsidRPr="00913ABF">
        <w:rPr>
          <w:rFonts w:ascii="Wingdings 3" w:hAnsi="Wingdings 3"/>
          <w:color w:val="76923C"/>
        </w:rPr>
        <w:tab/>
      </w:r>
      <w:r w:rsidR="00872DBB">
        <w:t>ISO 26262-9:2018 Road vehicles — Functional safety, “Part 9: Automotive safety integrity level (ASIL)-oriented and safety-oriented analyses”</w:t>
      </w:r>
    </w:p>
    <w:p w14:paraId="479D7CDF" w14:textId="59C18F03" w:rsidR="0027479C" w:rsidRDefault="00D83A47" w:rsidP="0027479C">
      <w:pPr>
        <w:pStyle w:val="EX"/>
      </w:pPr>
      <w:r w:rsidRPr="00913ABF">
        <w:t>[i.</w:t>
      </w:r>
      <w:r w:rsidR="002D4E09">
        <w:t>4</w:t>
      </w:r>
      <w:r w:rsidRPr="00913ABF">
        <w:t>]</w:t>
      </w:r>
      <w:r w:rsidRPr="00913ABF">
        <w:rPr>
          <w:rFonts w:ascii="Wingdings 3" w:hAnsi="Wingdings 3"/>
        </w:rPr>
        <w:tab/>
      </w:r>
      <w:r>
        <w:t xml:space="preserve">ETSI TR 103 903; </w:t>
      </w:r>
      <w:r w:rsidRPr="00913ABF">
        <w:t>"</w:t>
      </w:r>
      <w:r>
        <w:t>Intelligent Transportation Systems (ITS); ITS Framework; Release 2;</w:t>
      </w:r>
      <w:r w:rsidRPr="00913ABF">
        <w:t>"</w:t>
      </w:r>
      <w:bookmarkStart w:id="77" w:name="ETSI_TR103141"/>
    </w:p>
    <w:p w14:paraId="49717A07" w14:textId="3D38AC77" w:rsidR="0027479C" w:rsidRDefault="00FC7742" w:rsidP="0027479C">
      <w:pPr>
        <w:pStyle w:val="EX"/>
      </w:pPr>
      <w:r w:rsidRPr="00913ABF">
        <w:t>[i.</w:t>
      </w:r>
      <w:r>
        <w:t>5</w:t>
      </w:r>
      <w:r w:rsidRPr="00913ABF">
        <w:t>]</w:t>
      </w:r>
      <w:bookmarkEnd w:id="77"/>
      <w:r>
        <w:rPr>
          <w:rFonts w:ascii="Wingdings 3" w:hAnsi="Wingdings 3"/>
        </w:rPr>
        <w:tab/>
      </w:r>
      <w:r>
        <w:rPr>
          <w:rFonts w:ascii="Wingdings 3" w:hAnsi="Wingdings 3"/>
        </w:rPr>
        <w:tab/>
      </w:r>
      <w:r>
        <w:t>ETSI TS 103 141: “Intelligent Transport Systems (ITS); Facilities layer function; Multi-Channel Operation (MCO) for Cooperative ITS (C-ITS); Release 2</w:t>
      </w:r>
      <w:r w:rsidR="0027479C">
        <w:t>”</w:t>
      </w:r>
      <w:bookmarkStart w:id="78" w:name="ETSI_TS103696"/>
      <w:bookmarkStart w:id="79" w:name="ETSI_TS103697"/>
    </w:p>
    <w:p w14:paraId="2DA5C489" w14:textId="20CAC9C6" w:rsidR="0027479C" w:rsidRDefault="00612AEA" w:rsidP="0027479C">
      <w:pPr>
        <w:pStyle w:val="EX"/>
      </w:pPr>
      <w:r w:rsidRPr="00913ABF">
        <w:t>[i.</w:t>
      </w:r>
      <w:r>
        <w:t>6</w:t>
      </w:r>
      <w:r w:rsidRPr="00913ABF">
        <w:t>]</w:t>
      </w:r>
      <w:bookmarkEnd w:id="78"/>
      <w:bookmarkEnd w:id="79"/>
      <w:r>
        <w:rPr>
          <w:rFonts w:ascii="Wingdings 3" w:hAnsi="Wingdings 3"/>
        </w:rPr>
        <w:tab/>
      </w:r>
      <w:r>
        <w:rPr>
          <w:rFonts w:ascii="Wingdings 3" w:hAnsi="Wingdings 3"/>
        </w:rPr>
        <w:tab/>
      </w:r>
      <w:r>
        <w:t>ETSI TS 103 69</w:t>
      </w:r>
      <w:r w:rsidR="00C16E51">
        <w:t>7</w:t>
      </w:r>
      <w:r>
        <w:t xml:space="preserve">: “Intelligent Transport Systems (ITS); </w:t>
      </w:r>
      <w:r w:rsidR="00C16E51">
        <w:t xml:space="preserve">Architecture Multi-Channel Operation (MCO) for Cooperative ITS (C-ITS); </w:t>
      </w:r>
      <w:r>
        <w:t>Release</w:t>
      </w:r>
      <w:r w:rsidR="00C16E51">
        <w:t xml:space="preserve"> 2”</w:t>
      </w:r>
      <w:bookmarkStart w:id="80" w:name="C2C_CC_Profile"/>
    </w:p>
    <w:p w14:paraId="2688432D" w14:textId="64FAC791" w:rsidR="0027479C" w:rsidRDefault="001561C7" w:rsidP="0027479C">
      <w:pPr>
        <w:pStyle w:val="EX"/>
      </w:pPr>
      <w:r w:rsidRPr="00913ABF">
        <w:t>[i.</w:t>
      </w:r>
      <w:r>
        <w:t>7</w:t>
      </w:r>
      <w:r w:rsidRPr="00913ABF">
        <w:t>]</w:t>
      </w:r>
      <w:bookmarkEnd w:id="80"/>
      <w:r>
        <w:rPr>
          <w:rFonts w:ascii="Wingdings 3" w:hAnsi="Wingdings 3"/>
        </w:rPr>
        <w:tab/>
      </w:r>
      <w:r>
        <w:rPr>
          <w:rFonts w:ascii="Wingdings 3" w:hAnsi="Wingdings 3"/>
        </w:rPr>
        <w:tab/>
      </w:r>
      <w:r>
        <w:t>C2C-CC Profile Release 1: “Car2Car Communication Consortium Basic System Profile (BSP) version 1.xx”</w:t>
      </w:r>
    </w:p>
    <w:p w14:paraId="037F77BA" w14:textId="06257FB7" w:rsidR="001561C7" w:rsidRDefault="001561C7" w:rsidP="00346CA7">
      <w:pPr>
        <w:pStyle w:val="EX"/>
      </w:pPr>
      <w:r>
        <w:tab/>
      </w:r>
      <w:r w:rsidR="00207469">
        <w:t>Note</w:t>
      </w:r>
      <w:r>
        <w:t xml:space="preserve">: </w:t>
      </w:r>
      <w:r>
        <w:tab/>
      </w:r>
      <w:hyperlink r:id="rId17" w:history="1">
        <w:r w:rsidRPr="001561C7">
          <w:rPr>
            <w:rStyle w:val="Hyperlink"/>
          </w:rPr>
          <w:t>https://www.car-2-car.org/documents/basic-system-profile</w:t>
        </w:r>
      </w:hyperlink>
      <w:r>
        <w:t xml:space="preserve"> </w:t>
      </w:r>
    </w:p>
    <w:p w14:paraId="34A4832C" w14:textId="6D8D62DF" w:rsidR="001561C7" w:rsidRDefault="001561C7" w:rsidP="001561C7">
      <w:pPr>
        <w:pStyle w:val="EX"/>
        <w:keepNext/>
      </w:pPr>
      <w:bookmarkStart w:id="81" w:name="C_Roads_Profile"/>
      <w:r w:rsidRPr="00913ABF">
        <w:t>[i.</w:t>
      </w:r>
      <w:r>
        <w:t>8</w:t>
      </w:r>
      <w:r w:rsidRPr="00913ABF">
        <w:t>]</w:t>
      </w:r>
      <w:bookmarkEnd w:id="81"/>
      <w:r>
        <w:rPr>
          <w:rFonts w:ascii="Wingdings 3" w:hAnsi="Wingdings 3"/>
        </w:rPr>
        <w:tab/>
      </w:r>
      <w:r>
        <w:rPr>
          <w:rFonts w:ascii="Wingdings 3" w:hAnsi="Wingdings 3"/>
        </w:rPr>
        <w:tab/>
      </w:r>
      <w:r>
        <w:t>C-Roads Profile Release 1: “C-ROADS Harmonised Communication Profile for C-ITS”</w:t>
      </w:r>
    </w:p>
    <w:p w14:paraId="33E27A2C" w14:textId="67A14E31" w:rsidR="001561C7" w:rsidRDefault="00207469" w:rsidP="0045357B">
      <w:pPr>
        <w:pStyle w:val="EX"/>
        <w:keepNext/>
        <w:ind w:left="1704" w:firstLine="0"/>
      </w:pPr>
      <w:r>
        <w:t>Note</w:t>
      </w:r>
      <w:r w:rsidR="001561C7">
        <w:t xml:space="preserve">: </w:t>
      </w:r>
      <w:r w:rsidR="001561C7">
        <w:tab/>
      </w:r>
      <w:hyperlink r:id="rId18" w:history="1">
        <w:r w:rsidR="003B09A1" w:rsidRPr="007A4632">
          <w:rPr>
            <w:rStyle w:val="Hyperlink"/>
          </w:rPr>
          <w:t>https://www.c-roads.eu/platform/about/news/News/entry/show/release-20-of-c-roads-harmonised-c-its-specifications.html</w:t>
        </w:r>
      </w:hyperlink>
      <w:r w:rsidR="003B09A1">
        <w:t xml:space="preserve"> </w:t>
      </w:r>
    </w:p>
    <w:p w14:paraId="46F34CBA" w14:textId="007DC4CB" w:rsidR="00FC7742" w:rsidRDefault="00D83A33" w:rsidP="00D83A33">
      <w:pPr>
        <w:pStyle w:val="EX"/>
      </w:pPr>
      <w:bookmarkStart w:id="82" w:name="ETSI_TR103903"/>
      <w:r w:rsidRPr="00913ABF">
        <w:t>[i.</w:t>
      </w:r>
      <w:r>
        <w:t>9</w:t>
      </w:r>
      <w:r w:rsidRPr="00913ABF">
        <w:t>]</w:t>
      </w:r>
      <w:bookmarkEnd w:id="82"/>
      <w:r>
        <w:rPr>
          <w:rFonts w:ascii="Wingdings 3" w:hAnsi="Wingdings 3"/>
        </w:rPr>
        <w:tab/>
      </w:r>
      <w:r>
        <w:rPr>
          <w:rFonts w:ascii="Wingdings 3" w:hAnsi="Wingdings 3"/>
        </w:rPr>
        <w:tab/>
      </w:r>
      <w:r>
        <w:t>ETSI TR 103 903: “Intelligent Transportation Systems (ITS); ITS Framework; Release 2;</w:t>
      </w:r>
    </w:p>
    <w:p w14:paraId="3DBFD63A" w14:textId="05C5638D" w:rsidR="00406B14" w:rsidRPr="00406B14" w:rsidRDefault="00406B14" w:rsidP="00406B14">
      <w:pPr>
        <w:pStyle w:val="EX"/>
      </w:pPr>
      <w:bookmarkStart w:id="83" w:name="IEEE_802_11"/>
      <w:r w:rsidRPr="00913ABF">
        <w:t>[i.</w:t>
      </w:r>
      <w:r>
        <w:t>10</w:t>
      </w:r>
      <w:r w:rsidRPr="00913ABF">
        <w:t>]</w:t>
      </w:r>
      <w:bookmarkEnd w:id="83"/>
      <w:r>
        <w:rPr>
          <w:rFonts w:ascii="Wingdings 3" w:hAnsi="Wingdings 3"/>
        </w:rPr>
        <w:tab/>
      </w:r>
      <w:r>
        <w:t>IEEE 802.11</w:t>
      </w:r>
      <w:r w:rsidRPr="00573558">
        <w:rPr>
          <w:vertAlign w:val="superscript"/>
        </w:rPr>
        <w:t>TM</w:t>
      </w:r>
      <w:r>
        <w:t xml:space="preserve"> (2024): “</w:t>
      </w:r>
      <w:r w:rsidRPr="00406B14">
        <w:t>EEE Approved Draft Standard for Information Technology -- Telecommunications and Information Exchange Between Systems Local and Metropolitan Area Networks -- Specific Requirements - Part 11: Wireless Local Area Network (LAN) Medium Access Control (MAC) and Physical Layer (PHY) Specifications</w:t>
      </w:r>
      <w:r>
        <w:t>”</w:t>
      </w:r>
    </w:p>
    <w:p w14:paraId="4FB5E698" w14:textId="76866392" w:rsidR="004250BB" w:rsidRDefault="004250BB" w:rsidP="004250BB">
      <w:pPr>
        <w:pStyle w:val="EX"/>
        <w:keepNext/>
      </w:pPr>
      <w:bookmarkStart w:id="84" w:name="ETSI_TS103141"/>
      <w:r w:rsidRPr="00913ABF">
        <w:t>[i.</w:t>
      </w:r>
      <w:r>
        <w:t>11</w:t>
      </w:r>
      <w:r w:rsidRPr="00913ABF">
        <w:t>]</w:t>
      </w:r>
      <w:bookmarkEnd w:id="84"/>
      <w:r>
        <w:rPr>
          <w:rFonts w:ascii="Wingdings 3" w:hAnsi="Wingdings 3"/>
        </w:rPr>
        <w:tab/>
      </w:r>
      <w:r>
        <w:rPr>
          <w:rFonts w:ascii="Wingdings 3" w:hAnsi="Wingdings 3"/>
        </w:rPr>
        <w:tab/>
      </w:r>
      <w:r>
        <w:t>ETSI TS 103 141: “Intelligent Transportation Systems (ITS); Facilities layer function; Multi-Channel Operation (MCO) for Cooperative ITS (C-ITS); Release 2”</w:t>
      </w:r>
    </w:p>
    <w:p w14:paraId="4BCD0018" w14:textId="42B74A08" w:rsidR="004250BB" w:rsidRDefault="004250BB" w:rsidP="004250BB">
      <w:pPr>
        <w:pStyle w:val="EX"/>
        <w:keepNext/>
      </w:pPr>
      <w:bookmarkStart w:id="85" w:name="ETSI_TS103836_4_1"/>
      <w:r w:rsidRPr="00913ABF">
        <w:t>[i.</w:t>
      </w:r>
      <w:r>
        <w:t>12</w:t>
      </w:r>
      <w:r w:rsidRPr="00913ABF">
        <w:t>]</w:t>
      </w:r>
      <w:bookmarkEnd w:id="85"/>
      <w:r>
        <w:rPr>
          <w:rFonts w:ascii="Wingdings 3" w:hAnsi="Wingdings 3"/>
        </w:rPr>
        <w:tab/>
      </w:r>
      <w:r>
        <w:t>ETSI TS 103 836-4-1: “Intelligent Transportation Systems (ITS); Communications; GeoNetworking: Part 8: Transport Protocols for Multi-Channel Operation (MCO); Sub-Part 1: Basic Transport Protocol”</w:t>
      </w:r>
    </w:p>
    <w:p w14:paraId="26CC58D8" w14:textId="4B08D654" w:rsidR="004250BB" w:rsidRDefault="004250BB" w:rsidP="004250BB">
      <w:pPr>
        <w:pStyle w:val="EX"/>
        <w:keepNext/>
      </w:pPr>
      <w:bookmarkStart w:id="86" w:name="ETSI_TS103695"/>
      <w:r w:rsidRPr="00913ABF">
        <w:t>[i.</w:t>
      </w:r>
      <w:r>
        <w:t>13</w:t>
      </w:r>
      <w:r w:rsidRPr="00913ABF">
        <w:t>]</w:t>
      </w:r>
      <w:bookmarkEnd w:id="86"/>
      <w:r>
        <w:rPr>
          <w:rFonts w:ascii="Wingdings 3" w:hAnsi="Wingdings 3"/>
        </w:rPr>
        <w:tab/>
      </w:r>
      <w:r>
        <w:rPr>
          <w:rFonts w:ascii="Wingdings 3" w:hAnsi="Wingdings 3"/>
        </w:rPr>
        <w:tab/>
      </w:r>
      <w:r>
        <w:t>ETSI TS 103 695: “Intelligent Transport System (ITS); Access layer specification in the 5GHz frequency band; Multi-Channel Operation (MCO) for Cooperative ITS (C-ITS); Release 2”</w:t>
      </w:r>
    </w:p>
    <w:p w14:paraId="20F8166B" w14:textId="4DEB5CF2" w:rsidR="0027479C" w:rsidRDefault="0027479C" w:rsidP="00237413">
      <w:pPr>
        <w:pStyle w:val="EX"/>
        <w:keepNext/>
      </w:pPr>
      <w:bookmarkStart w:id="87" w:name="ETSI_TR101612"/>
      <w:r w:rsidRPr="00913ABF">
        <w:t>[i.</w:t>
      </w:r>
      <w:r>
        <w:t>14</w:t>
      </w:r>
      <w:r w:rsidRPr="00913ABF">
        <w:t>]</w:t>
      </w:r>
      <w:bookmarkEnd w:id="87"/>
      <w:r>
        <w:rPr>
          <w:rFonts w:ascii="Wingdings 3" w:hAnsi="Wingdings 3"/>
        </w:rPr>
        <w:tab/>
      </w:r>
      <w:r>
        <w:rPr>
          <w:rFonts w:ascii="Wingdings 3" w:hAnsi="Wingdings 3"/>
        </w:rPr>
        <w:tab/>
      </w:r>
      <w:r>
        <w:t>ETSI TR 101 612: “</w:t>
      </w:r>
      <w:r w:rsidR="00237413">
        <w:t>Intelligent Transport Systems (ITS); Cross Layer DCC Management Entity for operation in the ITS G5A and ITS G5B medium; Report on Cross layer DCC algorithms and performance Evaluation”</w:t>
      </w:r>
    </w:p>
    <w:p w14:paraId="0DFA8A07" w14:textId="117603E1" w:rsidR="0027479C" w:rsidRDefault="0027479C" w:rsidP="00237413">
      <w:pPr>
        <w:pStyle w:val="EX"/>
        <w:keepNext/>
      </w:pPr>
      <w:bookmarkStart w:id="88" w:name="ETSI_TS102636_4_2"/>
      <w:r w:rsidRPr="00913ABF">
        <w:t>[i.</w:t>
      </w:r>
      <w:r>
        <w:t>15</w:t>
      </w:r>
      <w:r w:rsidRPr="00913ABF">
        <w:t>]</w:t>
      </w:r>
      <w:bookmarkEnd w:id="88"/>
      <w:r>
        <w:rPr>
          <w:rFonts w:ascii="Wingdings 3" w:hAnsi="Wingdings 3"/>
        </w:rPr>
        <w:tab/>
      </w:r>
      <w:r>
        <w:rPr>
          <w:rFonts w:ascii="Wingdings 3" w:hAnsi="Wingdings 3"/>
        </w:rPr>
        <w:tab/>
      </w:r>
      <w:r>
        <w:t>ETSI TS 102 636-4-2: “</w:t>
      </w:r>
      <w:r w:rsidR="00237413">
        <w:t>Intelligent Transport Systems (ITS); Vehicular Communications; GeoNetworking; Part 4: Geographical addressing and forwarding for point-to-point and point-to-multipoint communications; Sub-part 2: Media-dependent functionalities for ITS-G5”</w:t>
      </w:r>
    </w:p>
    <w:p w14:paraId="6F03258C" w14:textId="3D3F7E7E" w:rsidR="0027479C" w:rsidRDefault="0027479C" w:rsidP="00237413">
      <w:pPr>
        <w:pStyle w:val="EX"/>
        <w:keepNext/>
      </w:pPr>
      <w:bookmarkStart w:id="89" w:name="ETSI_TS102687"/>
      <w:r w:rsidRPr="00913ABF">
        <w:t>[i.</w:t>
      </w:r>
      <w:r>
        <w:t>16</w:t>
      </w:r>
      <w:r w:rsidRPr="00913ABF">
        <w:t>]</w:t>
      </w:r>
      <w:bookmarkEnd w:id="89"/>
      <w:r>
        <w:rPr>
          <w:rFonts w:ascii="Wingdings 3" w:hAnsi="Wingdings 3"/>
        </w:rPr>
        <w:tab/>
      </w:r>
      <w:r>
        <w:rPr>
          <w:rFonts w:ascii="Wingdings 3" w:hAnsi="Wingdings 3"/>
        </w:rPr>
        <w:tab/>
      </w:r>
      <w:r>
        <w:t>ETSI TS 102 687: “</w:t>
      </w:r>
      <w:r w:rsidR="00237413">
        <w:t>Intelligent Transport Systems (ITS); Decentralized Congestion Control Mechanisms for Intelligent Transport Systems operating in the 5 GHz range; Access layer part”</w:t>
      </w:r>
    </w:p>
    <w:p w14:paraId="6F78162A" w14:textId="5D574775" w:rsidR="0027479C" w:rsidRDefault="0027479C" w:rsidP="00237413">
      <w:pPr>
        <w:pStyle w:val="EX"/>
        <w:keepNext/>
      </w:pPr>
      <w:bookmarkStart w:id="90" w:name="ETSI_TS103175"/>
      <w:r w:rsidRPr="00913ABF">
        <w:t>[i.</w:t>
      </w:r>
      <w:r>
        <w:t>17]</w:t>
      </w:r>
      <w:bookmarkEnd w:id="90"/>
      <w:r>
        <w:rPr>
          <w:rFonts w:ascii="Wingdings 3" w:hAnsi="Wingdings 3"/>
        </w:rPr>
        <w:tab/>
      </w:r>
      <w:r>
        <w:rPr>
          <w:rFonts w:ascii="Wingdings 3" w:hAnsi="Wingdings 3"/>
        </w:rPr>
        <w:tab/>
      </w:r>
      <w:r>
        <w:t>ETSI TS 103 175: “</w:t>
      </w:r>
      <w:r w:rsidR="00237413">
        <w:t>Intelligent Transport Systems (ITS); Cross Layer DCC Management Entity for operation in the ITS G5A and ITS G5B medium”</w:t>
      </w:r>
    </w:p>
    <w:p w14:paraId="45FB694B" w14:textId="769E6E83" w:rsidR="0027479C" w:rsidRDefault="0027479C" w:rsidP="00237413">
      <w:pPr>
        <w:pStyle w:val="EX"/>
        <w:keepNext/>
      </w:pPr>
      <w:bookmarkStart w:id="91" w:name="ETSI_EN302571"/>
      <w:r w:rsidRPr="00913ABF">
        <w:t>[i.</w:t>
      </w:r>
      <w:r>
        <w:t>18</w:t>
      </w:r>
      <w:r w:rsidRPr="00913ABF">
        <w:t>]</w:t>
      </w:r>
      <w:bookmarkEnd w:id="91"/>
      <w:r>
        <w:rPr>
          <w:rFonts w:ascii="Wingdings 3" w:hAnsi="Wingdings 3"/>
        </w:rPr>
        <w:tab/>
      </w:r>
      <w:r>
        <w:rPr>
          <w:rFonts w:ascii="Wingdings 3" w:hAnsi="Wingdings 3"/>
        </w:rPr>
        <w:tab/>
      </w:r>
      <w:r>
        <w:t>ETSI EN 302 571: “</w:t>
      </w:r>
      <w:r w:rsidR="00237413">
        <w:t>Intelligent Transport Systems (ITS); Radiocommunications equipment operating in the 5 855 MHz to 5 925 MHz frequency band; Harmonised Standard covering the essential requirements of article 3.2 of Directive 2014/53/EU”</w:t>
      </w:r>
    </w:p>
    <w:p w14:paraId="0CC63106" w14:textId="02856E9E" w:rsidR="00434AB8" w:rsidRDefault="00434AB8" w:rsidP="00237413">
      <w:pPr>
        <w:pStyle w:val="EX"/>
        <w:keepNext/>
      </w:pPr>
      <w:bookmarkStart w:id="92" w:name="WiLabV2Xsim"/>
      <w:r>
        <w:t>[i.19]</w:t>
      </w:r>
      <w:bookmarkEnd w:id="92"/>
      <w:r>
        <w:tab/>
      </w:r>
      <w:r w:rsidR="0045562A" w:rsidRPr="00434AB8">
        <w:t>V. Todisco, S. Bartoletti, C. Campolo, A. Molinaro, A. O. Berthet and A. Bazzi</w:t>
      </w:r>
      <w:r w:rsidR="0045562A">
        <w:t>:</w:t>
      </w:r>
      <w:r w:rsidR="0045562A" w:rsidRPr="00434AB8">
        <w:t xml:space="preserve"> </w:t>
      </w:r>
      <w:r w:rsidR="0045562A">
        <w:t>“</w:t>
      </w:r>
      <w:r w:rsidRPr="00434AB8">
        <w:t>WiLabV2Xsim: Performance Analysis of Sidelink 5G-V2X Mode 2 Through an Open-Source Simulator," in </w:t>
      </w:r>
      <w:r w:rsidRPr="00434AB8">
        <w:rPr>
          <w:i/>
          <w:iCs/>
        </w:rPr>
        <w:t>IEEE Access</w:t>
      </w:r>
      <w:r w:rsidRPr="00434AB8">
        <w:t>, vol. 9, pp. 145648-145661, 2021</w:t>
      </w:r>
      <w:r w:rsidR="0045562A">
        <w:t>.</w:t>
      </w:r>
      <w:r>
        <w:t>.</w:t>
      </w:r>
    </w:p>
    <w:p w14:paraId="7994717E" w14:textId="059FF6BE" w:rsidR="006312E0" w:rsidRPr="001B385A" w:rsidRDefault="00434AB8" w:rsidP="006312E0">
      <w:pPr>
        <w:pStyle w:val="EX"/>
        <w:keepNext/>
      </w:pPr>
      <w:bookmarkStart w:id="93" w:name="MethAbstractPhyLayer_directV2X_Comm"/>
      <w:r>
        <w:t>[i.20]</w:t>
      </w:r>
      <w:bookmarkEnd w:id="93"/>
      <w:r>
        <w:tab/>
      </w:r>
      <w:r w:rsidR="006312E0" w:rsidRPr="001B385A">
        <w:t>Wu, Z.; Bartoletti, S.; Martinez, V.; Bazzi, A.</w:t>
      </w:r>
      <w:r w:rsidR="006312E0" w:rsidRPr="006312E0">
        <w:t xml:space="preserve"> </w:t>
      </w:r>
      <w:r w:rsidR="006312E0">
        <w:t xml:space="preserve">: </w:t>
      </w:r>
      <w:r w:rsidR="006312E0" w:rsidRPr="00434AB8">
        <w:t>A Methodology for Abstracting the Physical Layer of Direct V2X Communications Technologies. </w:t>
      </w:r>
      <w:r w:rsidR="006312E0" w:rsidRPr="001B385A">
        <w:rPr>
          <w:i/>
          <w:iCs/>
        </w:rPr>
        <w:t>Sensors</w:t>
      </w:r>
      <w:r w:rsidR="006312E0" w:rsidRPr="001B385A">
        <w:t> </w:t>
      </w:r>
      <w:r w:rsidR="006312E0" w:rsidRPr="001B385A">
        <w:rPr>
          <w:b/>
          <w:bCs/>
        </w:rPr>
        <w:t>2022</w:t>
      </w:r>
      <w:r w:rsidR="006312E0" w:rsidRPr="001B385A">
        <w:t>, </w:t>
      </w:r>
      <w:r w:rsidR="006312E0" w:rsidRPr="001B385A">
        <w:rPr>
          <w:i/>
          <w:iCs/>
        </w:rPr>
        <w:t>22</w:t>
      </w:r>
      <w:r w:rsidR="006312E0" w:rsidRPr="001B385A">
        <w:t xml:space="preserve">, 9330. </w:t>
      </w:r>
      <w:hyperlink r:id="rId19" w:history="1">
        <w:r w:rsidR="006312E0" w:rsidRPr="001B385A">
          <w:rPr>
            <w:rStyle w:val="Hyperlink"/>
          </w:rPr>
          <w:t>https://doi.org/10.3390/s22239330</w:t>
        </w:r>
      </w:hyperlink>
      <w:r w:rsidR="006312E0" w:rsidRPr="001B385A">
        <w:rPr>
          <w:rStyle w:val="Hyperlink"/>
        </w:rPr>
        <w:t>.</w:t>
      </w:r>
    </w:p>
    <w:p w14:paraId="16BFD2AD" w14:textId="3D3C2D00" w:rsidR="00094101" w:rsidRPr="006312E0" w:rsidRDefault="00094101" w:rsidP="00094101">
      <w:pPr>
        <w:pStyle w:val="EX"/>
        <w:keepNext/>
      </w:pPr>
      <w:bookmarkStart w:id="94" w:name="ComparingLIMERICandDCCapproaches"/>
      <w:r>
        <w:t>[i.21]</w:t>
      </w:r>
      <w:bookmarkEnd w:id="94"/>
      <w:r>
        <w:tab/>
      </w:r>
      <w:r w:rsidR="006312E0" w:rsidRPr="00EB4BD5">
        <w:t>G. Bansal, B. Cheng, A. Rostami, K. Sjoberg, J. B. Kenney and M. Gruteser</w:t>
      </w:r>
      <w:r w:rsidR="006312E0">
        <w:t xml:space="preserve">: </w:t>
      </w:r>
      <w:r w:rsidRPr="006312E0">
        <w:t>Comparing LIMERIC and DCC approaches for VANET channel congestion control," 2014 IEEE 6th International Symposium on Wireless Vehicular Communications (WiVeC 2014), Vancouver, BC, Canada, 2014, pp. 1-7, doi: 10.1109/WIVEC.2014.6953217.</w:t>
      </w:r>
    </w:p>
    <w:p w14:paraId="5802055F" w14:textId="0B0EF502" w:rsidR="00094101" w:rsidRPr="006312E0" w:rsidRDefault="00094101" w:rsidP="00094101">
      <w:pPr>
        <w:pStyle w:val="EX"/>
        <w:keepNext/>
      </w:pPr>
      <w:bookmarkStart w:id="95" w:name="IsPacketDroppingaSuitableCongestion"/>
      <w:r>
        <w:t>[i.22]</w:t>
      </w:r>
      <w:bookmarkEnd w:id="95"/>
      <w:r>
        <w:tab/>
      </w:r>
      <w:r w:rsidR="006312E0" w:rsidRPr="00EB4BD5">
        <w:t>M. Sepulcre, J. Mira, G. Thandavarayan and J. Gozalvez</w:t>
      </w:r>
      <w:r w:rsidR="006312E0">
        <w:t>:</w:t>
      </w:r>
      <w:r w:rsidR="006312E0" w:rsidRPr="006312E0">
        <w:t xml:space="preserve"> </w:t>
      </w:r>
      <w:r w:rsidRPr="006312E0">
        <w:t>Is Packet Dropping a Suitable Congestion Control Mechanism for Vehicular Networks?," 2020 IEEE 91st Vehicular Technology Conference (VTC2020-Spring), Antwerp, Belgium, 2020, pp. 1-5 , doi: 10.1109/VTC2020-Spring48590.2020.9128822.</w:t>
      </w:r>
    </w:p>
    <w:p w14:paraId="6094F523" w14:textId="2FF1BE7B" w:rsidR="00094101" w:rsidRPr="006312E0" w:rsidRDefault="00094101" w:rsidP="00094101">
      <w:pPr>
        <w:pStyle w:val="EX"/>
        <w:keepNext/>
      </w:pPr>
      <w:bookmarkStart w:id="96" w:name="EvaluationandImpactofCC"/>
      <w:r>
        <w:t>[i.23]</w:t>
      </w:r>
      <w:bookmarkEnd w:id="96"/>
      <w:r>
        <w:tab/>
      </w:r>
      <w:r w:rsidR="006312E0" w:rsidRPr="00EB4BD5">
        <w:t>G. Thandavarayan, M. Sepulcre and J. Gozálvez, "Cooperative Perception for Connected and Automated Vehicles</w:t>
      </w:r>
      <w:r w:rsidR="006312E0">
        <w:t xml:space="preserve">: </w:t>
      </w:r>
      <w:r w:rsidRPr="006312E0">
        <w:t>Evaluation and Impact of Congestion Control", IEEE Access, vol. 8, pp. 197665-197683, October 2020, DOI: 10.1109/ACCESS.2020.3035119.</w:t>
      </w:r>
    </w:p>
    <w:p w14:paraId="0B95487F" w14:textId="25857933" w:rsidR="00094101" w:rsidRPr="006312E0" w:rsidRDefault="00094101" w:rsidP="00094101">
      <w:pPr>
        <w:pStyle w:val="EX"/>
        <w:keepNext/>
      </w:pPr>
      <w:bookmarkStart w:id="97" w:name="InternationalConferenceOnPerformance"/>
      <w:r>
        <w:t>[i.24]</w:t>
      </w:r>
      <w:bookmarkEnd w:id="97"/>
      <w:r>
        <w:tab/>
      </w:r>
      <w:r w:rsidR="006312E0" w:rsidRPr="00EB4BD5">
        <w:t>F. Marzouk, R., Zagrouba, A. Laouiti, and P.  Mühlethaler, “An empirical study of Unfairness and Oscillation in ETSI DCC</w:t>
      </w:r>
      <w:r w:rsidR="006312E0">
        <w:t>:</w:t>
      </w:r>
      <w:r w:rsidR="006312E0" w:rsidRPr="006312E0">
        <w:t xml:space="preserve"> </w:t>
      </w:r>
      <w:r w:rsidRPr="006312E0">
        <w:t>In International Conference on Performance Evalutaion and Modeling in Wired and Wireless networks PEMWN'2015, November 2015.</w:t>
      </w:r>
    </w:p>
    <w:p w14:paraId="2E3992A8" w14:textId="48F76DF2" w:rsidR="00094101" w:rsidRDefault="00094101" w:rsidP="00094101">
      <w:pPr>
        <w:pStyle w:val="EX"/>
        <w:keepNext/>
      </w:pPr>
      <w:bookmarkStart w:id="98" w:name="CC_MechanismsIEEE802_11p_Sidelink_C_V2X"/>
      <w:r>
        <w:t>[i.25]</w:t>
      </w:r>
      <w:bookmarkEnd w:id="98"/>
      <w:r>
        <w:tab/>
      </w:r>
      <w:r w:rsidR="006312E0" w:rsidRPr="00C3291C">
        <w:t>A. Bazzi</w:t>
      </w:r>
      <w:r w:rsidR="006312E0">
        <w:t>:</w:t>
      </w:r>
      <w:r w:rsidR="006312E0" w:rsidRPr="00C3291C">
        <w:t xml:space="preserve"> </w:t>
      </w:r>
      <w:r w:rsidR="00C3291C" w:rsidRPr="00C3291C">
        <w:t>Congestion Control Mechanisms in IEEE 802.11p and Sidelink C-V2X,</w:t>
      </w:r>
      <w:r w:rsidR="00C3291C">
        <w:t xml:space="preserve"> </w:t>
      </w:r>
      <w:r w:rsidR="00C3291C" w:rsidRPr="00C3291C">
        <w:t>2019</w:t>
      </w:r>
      <w:r w:rsidR="00C3291C">
        <w:t>,</w:t>
      </w:r>
      <w:r w:rsidR="00C3291C" w:rsidRPr="00C3291C">
        <w:t xml:space="preserve"> 53rd Asilomar Conference on Signals, Systems, and Computers, Pacific Grove, CA, USA, 2019, pp. 1125-1130, doi: 10.1109/IEEECONF44664.2019.9048738</w:t>
      </w:r>
      <w:r w:rsidR="00C3291C">
        <w:t>.</w:t>
      </w:r>
    </w:p>
    <w:p w14:paraId="6475136C" w14:textId="11AA9DA8" w:rsidR="00C3291C" w:rsidRDefault="00C3291C" w:rsidP="00094101">
      <w:pPr>
        <w:pStyle w:val="EX"/>
        <w:keepNext/>
      </w:pPr>
      <w:bookmarkStart w:id="99" w:name="Benefits_DCC_FacilitiesITS_G5_Networks"/>
      <w:r>
        <w:t>[i.26]</w:t>
      </w:r>
      <w:bookmarkEnd w:id="99"/>
      <w:r>
        <w:tab/>
      </w:r>
      <w:r w:rsidR="006312E0" w:rsidRPr="00C3291C">
        <w:t>E. Xhoxhi and F. Schiegg</w:t>
      </w:r>
      <w:r w:rsidR="006312E0">
        <w:t>:</w:t>
      </w:r>
      <w:r w:rsidR="006312E0" w:rsidRPr="00C3291C">
        <w:t xml:space="preserve"> </w:t>
      </w:r>
      <w:r w:rsidRPr="00C3291C">
        <w:t>Benefits of DCC Facilities in ITS-G5 Networks - First Simulated Results, 2022 IEEE 95th Vehicular Technology Conference: (VTC2022-Spring), Helsinki, Finland, 2022, pp. 1-7, doi: 10.1109/VTC2022-Spring54318.2022.9860904</w:t>
      </w:r>
      <w:r>
        <w:t>.</w:t>
      </w:r>
    </w:p>
    <w:p w14:paraId="2D8143DA" w14:textId="5171BB19" w:rsidR="00C3291C" w:rsidRDefault="00C3291C" w:rsidP="00094101">
      <w:pPr>
        <w:pStyle w:val="EX"/>
        <w:keepNext/>
      </w:pPr>
      <w:bookmarkStart w:id="100" w:name="CooperativePerceptionConnectedAutomatedD"/>
      <w:r>
        <w:t>[i.27]</w:t>
      </w:r>
      <w:bookmarkEnd w:id="100"/>
      <w:r>
        <w:tab/>
      </w:r>
      <w:r w:rsidR="000F2EA8">
        <w:t>G.</w:t>
      </w:r>
      <w:r w:rsidR="000F2EA8" w:rsidRPr="00B01279">
        <w:t xml:space="preserve"> </w:t>
      </w:r>
      <w:r w:rsidR="006312E0" w:rsidRPr="00B01279">
        <w:t xml:space="preserve">Thandavarayan, </w:t>
      </w:r>
      <w:r w:rsidR="000F2EA8">
        <w:t>M.</w:t>
      </w:r>
      <w:r w:rsidR="000F2EA8" w:rsidRPr="00B01279">
        <w:t xml:space="preserve"> </w:t>
      </w:r>
      <w:r w:rsidR="006312E0" w:rsidRPr="00B01279">
        <w:t xml:space="preserve">Sepulcre, </w:t>
      </w:r>
      <w:r w:rsidR="000F2EA8">
        <w:t>J.</w:t>
      </w:r>
      <w:r w:rsidR="000F2EA8" w:rsidRPr="00B01279">
        <w:t xml:space="preserve"> </w:t>
      </w:r>
      <w:r w:rsidR="006312E0" w:rsidRPr="00B01279">
        <w:t xml:space="preserve">Gozálvez, and </w:t>
      </w:r>
      <w:r w:rsidR="000F2EA8">
        <w:t>B.</w:t>
      </w:r>
      <w:r w:rsidR="000F2EA8" w:rsidRPr="00B01279">
        <w:t xml:space="preserve"> </w:t>
      </w:r>
      <w:r w:rsidR="006312E0" w:rsidRPr="00B01279">
        <w:t>Coll-Perales</w:t>
      </w:r>
      <w:r w:rsidR="006312E0">
        <w:t>:</w:t>
      </w:r>
      <w:r w:rsidR="006312E0" w:rsidRPr="00B01279">
        <w:t xml:space="preserve"> </w:t>
      </w:r>
      <w:r w:rsidR="00B01279" w:rsidRPr="00B01279">
        <w:t>Scalable Cooperative Perception for Connected and Automated Driving, Journal of Network and Computer Applications, vol. 216, pp. 103655, May 2023</w:t>
      </w:r>
      <w:r w:rsidR="00B01279">
        <w:t>.</w:t>
      </w:r>
    </w:p>
    <w:p w14:paraId="7E16FA74" w14:textId="43762D7A" w:rsidR="00B01279" w:rsidRDefault="00B01279" w:rsidP="00094101">
      <w:pPr>
        <w:pStyle w:val="EX"/>
        <w:keepNext/>
      </w:pPr>
      <w:bookmarkStart w:id="101" w:name="EvaluationRedundancyMitigationRule"/>
      <w:r>
        <w:t>[i.28]</w:t>
      </w:r>
      <w:bookmarkEnd w:id="101"/>
      <w:r>
        <w:tab/>
      </w:r>
      <w:r w:rsidR="006312E0" w:rsidRPr="002E71B7">
        <w:t>A. H. Sakr</w:t>
      </w:r>
      <w:r w:rsidR="006312E0">
        <w:t>:</w:t>
      </w:r>
      <w:r w:rsidR="006312E0" w:rsidRPr="002E71B7">
        <w:t xml:space="preserve"> </w:t>
      </w:r>
      <w:r w:rsidR="002E71B7" w:rsidRPr="002E71B7">
        <w:t>Evaluation of Redundancy Mitigation Rules in V2X Networks for Enhanced Collective Perception Services in IEEE Access, vol. 12, pp. 137696-137711, 2024</w:t>
      </w:r>
      <w:r w:rsidR="002E71B7">
        <w:t>.</w:t>
      </w:r>
    </w:p>
    <w:p w14:paraId="34A95DFE" w14:textId="22428574" w:rsidR="00B01279" w:rsidRDefault="002E71B7" w:rsidP="00094101">
      <w:pPr>
        <w:pStyle w:val="EX"/>
        <w:keepNext/>
      </w:pPr>
      <w:bookmarkStart w:id="102" w:name="EvaluationInformationR_MitigationV2X_CP"/>
      <w:r>
        <w:t>[i.29]</w:t>
      </w:r>
      <w:bookmarkEnd w:id="102"/>
      <w:r>
        <w:tab/>
      </w:r>
      <w:r w:rsidR="006312E0" w:rsidRPr="002E71B7">
        <w:t>Q. Delooz et al</w:t>
      </w:r>
      <w:r w:rsidR="006312E0">
        <w:t>:</w:t>
      </w:r>
      <w:r w:rsidR="006312E0" w:rsidRPr="002E71B7">
        <w:t xml:space="preserve"> </w:t>
      </w:r>
      <w:r w:rsidRPr="002E71B7">
        <w:t>Analysis and Evaluation of Information Redundancy Mitigation for V2X Collective Perception</w:t>
      </w:r>
      <w:r>
        <w:t>,</w:t>
      </w:r>
      <w:r w:rsidRPr="002E71B7">
        <w:t xml:space="preserve"> in IEEE Access, vol. 10, pp. 47076-47093, 2022</w:t>
      </w:r>
      <w:r>
        <w:t>.</w:t>
      </w:r>
    </w:p>
    <w:p w14:paraId="550E57FC" w14:textId="696A5EB2" w:rsidR="002E71B7" w:rsidRDefault="002E71B7" w:rsidP="00094101">
      <w:pPr>
        <w:pStyle w:val="EX"/>
        <w:keepNext/>
      </w:pPr>
      <w:bookmarkStart w:id="103" w:name="ISO_TS5723"/>
      <w:r>
        <w:t>[i.30]</w:t>
      </w:r>
      <w:bookmarkEnd w:id="103"/>
      <w:r>
        <w:tab/>
      </w:r>
      <w:r w:rsidR="00161127">
        <w:t>ISO</w:t>
      </w:r>
      <w:r w:rsidR="006643A4">
        <w:t>/IEC TS</w:t>
      </w:r>
      <w:r w:rsidR="00161127">
        <w:t xml:space="preserve"> 5723</w:t>
      </w:r>
      <w:r w:rsidR="006643A4">
        <w:t xml:space="preserve">:2022: “Trustworthiness – Vocabulary”: </w:t>
      </w:r>
      <w:r w:rsidR="006643A4" w:rsidRPr="006643A4">
        <w:t>This document provides a definition of trustworthiness for systems and their associated services, along with a selected set of their characteristics</w:t>
      </w:r>
    </w:p>
    <w:p w14:paraId="4206F47B" w14:textId="76539275" w:rsidR="00BB0248" w:rsidRDefault="00BB0248" w:rsidP="00BB0248">
      <w:pPr>
        <w:pStyle w:val="EX"/>
        <w:keepNext/>
      </w:pPr>
      <w:bookmarkStart w:id="104" w:name="ImpactObjectDataInclusion"/>
      <w:r>
        <w:t>[i.31]</w:t>
      </w:r>
      <w:bookmarkEnd w:id="104"/>
      <w:r>
        <w:tab/>
      </w:r>
      <w:r w:rsidRPr="00206263">
        <w:t>A. Figueiredo, P. Rito, M. Luís and S. Sargento</w:t>
      </w:r>
      <w:r>
        <w:t>:</w:t>
      </w:r>
      <w:r w:rsidRPr="00206263">
        <w:t xml:space="preserve"> Enhancing Vehicular Network Efficiency: The Impact of Object Data Inclusion in the Collective Perception Service in IEEE Open Journal of Intelligent Transportation Systems, vol. 5, pp. 454-468, 2024</w:t>
      </w:r>
    </w:p>
    <w:p w14:paraId="23A026B6" w14:textId="4BE73829" w:rsidR="00D01BF3" w:rsidRDefault="00D01BF3" w:rsidP="00BB0248">
      <w:pPr>
        <w:pStyle w:val="EX"/>
        <w:keepNext/>
      </w:pPr>
      <w:bookmarkStart w:id="105" w:name="Automated_Vehicle_Marshalling"/>
      <w:r>
        <w:t>[i.32]</w:t>
      </w:r>
      <w:bookmarkEnd w:id="105"/>
      <w:r>
        <w:tab/>
      </w:r>
      <w:r w:rsidRPr="00D01BF3">
        <w:t>F. Schiegg et al., "Automated Vehicle Marshalling: The First Functionally Safe V2X Service for Connected Automated Driving," in IEEE Open Journal of Vehicular Technology, vol. 6, pp. 927-947, 2025</w:t>
      </w:r>
    </w:p>
    <w:p w14:paraId="535967B3" w14:textId="0A8430D0" w:rsidR="00D01BF3" w:rsidRDefault="00D01BF3" w:rsidP="00BB0248">
      <w:pPr>
        <w:pStyle w:val="EX"/>
        <w:keepNext/>
      </w:pPr>
      <w:bookmarkStart w:id="106" w:name="Achieving_Fairnessin"/>
      <w:r>
        <w:t>[i.33]</w:t>
      </w:r>
      <w:bookmarkEnd w:id="106"/>
      <w:r>
        <w:tab/>
      </w:r>
      <w:r w:rsidRPr="00D01BF3">
        <w:t>G. Bansal and J. B. Kenney, "Achieving weighted-fairnessin message rate-based congestion control for DSRC systems," Proc. IEEE 5th WiVeC, Dresden, Germany, 2013.</w:t>
      </w:r>
    </w:p>
    <w:p w14:paraId="4C15657E" w14:textId="77777777" w:rsidR="00BB0248" w:rsidRDefault="00BB0248" w:rsidP="00094101">
      <w:pPr>
        <w:pStyle w:val="EX"/>
        <w:keepNext/>
      </w:pPr>
    </w:p>
    <w:p w14:paraId="232D1652" w14:textId="7544BDFA" w:rsidR="0039719E" w:rsidRPr="002F41AB" w:rsidRDefault="0039719E" w:rsidP="00F140CF">
      <w:pPr>
        <w:pStyle w:val="Heading1"/>
        <w:numPr>
          <w:ilvl w:val="0"/>
          <w:numId w:val="11"/>
        </w:numPr>
        <w:ind w:left="1134"/>
      </w:pPr>
      <w:bookmarkStart w:id="107" w:name="_Toc451532925"/>
      <w:bookmarkStart w:id="108" w:name="_Toc527986734"/>
      <w:bookmarkStart w:id="109" w:name="_Toc67666489"/>
      <w:bookmarkStart w:id="110" w:name="_Toc67667096"/>
      <w:bookmarkStart w:id="111" w:name="_Toc69827363"/>
      <w:bookmarkStart w:id="112" w:name="_Toc197336993"/>
      <w:r w:rsidRPr="002F41AB">
        <w:t>Definition</w:t>
      </w:r>
      <w:r w:rsidR="00576227">
        <w:t xml:space="preserve"> of terms</w:t>
      </w:r>
      <w:r w:rsidRPr="002F41AB">
        <w:t>, symbols and abbreviations</w:t>
      </w:r>
      <w:bookmarkEnd w:id="107"/>
      <w:bookmarkEnd w:id="108"/>
      <w:bookmarkEnd w:id="109"/>
      <w:bookmarkEnd w:id="110"/>
      <w:bookmarkEnd w:id="111"/>
      <w:bookmarkEnd w:id="112"/>
    </w:p>
    <w:p w14:paraId="13BDFD97" w14:textId="6CB4BBDA" w:rsidR="0039719E" w:rsidRPr="00A154F0" w:rsidRDefault="00576227" w:rsidP="00F140CF">
      <w:pPr>
        <w:pStyle w:val="Heading2"/>
        <w:numPr>
          <w:ilvl w:val="1"/>
          <w:numId w:val="11"/>
        </w:numPr>
        <w:ind w:left="1134"/>
      </w:pPr>
      <w:bookmarkStart w:id="113" w:name="_Toc527986735"/>
      <w:bookmarkStart w:id="114" w:name="_Toc67666490"/>
      <w:bookmarkStart w:id="115" w:name="_Toc67667097"/>
      <w:bookmarkStart w:id="116" w:name="_Toc69827364"/>
      <w:bookmarkStart w:id="117" w:name="_Toc197336994"/>
      <w:r>
        <w:t>Terms</w:t>
      </w:r>
      <w:bookmarkEnd w:id="113"/>
      <w:bookmarkEnd w:id="114"/>
      <w:bookmarkEnd w:id="115"/>
      <w:bookmarkEnd w:id="116"/>
      <w:bookmarkEnd w:id="117"/>
    </w:p>
    <w:p w14:paraId="7AB64D5D" w14:textId="0BE31BBA" w:rsidR="0039719E" w:rsidRDefault="0039719E" w:rsidP="0039719E">
      <w:r w:rsidRPr="00A154F0">
        <w:t>For the purposes of the present document, the [following] terms [given in ... and the following] apply:</w:t>
      </w:r>
    </w:p>
    <w:p w14:paraId="7E167DBD" w14:textId="0BC0128D" w:rsidR="00A66003" w:rsidRDefault="00A70CAC" w:rsidP="00BB5102">
      <w:pPr>
        <w:ind w:left="2272" w:hanging="2272"/>
      </w:pPr>
      <w:r>
        <w:t>Application</w:t>
      </w:r>
      <w:r>
        <w:tab/>
      </w:r>
      <w:r w:rsidRPr="00A70CAC">
        <w:t xml:space="preserve">a computer software </w:t>
      </w:r>
      <w:r>
        <w:t>functionality</w:t>
      </w:r>
      <w:r w:rsidRPr="00A70CAC">
        <w:t xml:space="preserve"> that performs a specific function directly for an </w:t>
      </w:r>
      <w:r>
        <w:t xml:space="preserve">or </w:t>
      </w:r>
      <w:r w:rsidRPr="00A70CAC">
        <w:t>for another application</w:t>
      </w:r>
      <w:r w:rsidR="00A66003">
        <w:t>.</w:t>
      </w:r>
    </w:p>
    <w:p w14:paraId="55FCCCDB" w14:textId="79121076" w:rsidR="00CD71DD" w:rsidRDefault="00CD71DD" w:rsidP="00A70CAC">
      <w:pPr>
        <w:ind w:left="2272" w:hanging="2272"/>
      </w:pPr>
      <w:r>
        <w:t>Automated System</w:t>
      </w:r>
      <w:r>
        <w:tab/>
      </w:r>
      <w:r w:rsidRPr="00CD71DD">
        <w:t xml:space="preserve">a computer </w:t>
      </w:r>
      <w:r>
        <w:t xml:space="preserve">(ICT) </w:t>
      </w:r>
      <w:r w:rsidRPr="00CD71DD">
        <w:t>system that collects information and can react and perform tasks based on the data. Automated systems are made using three components: Sensors. Microprocessors. Actuators.</w:t>
      </w:r>
    </w:p>
    <w:p w14:paraId="160557F9" w14:textId="394191EF" w:rsidR="00FE546A" w:rsidRDefault="00FE546A" w:rsidP="006312E0">
      <w:pPr>
        <w:ind w:left="2272" w:hanging="2272"/>
      </w:pPr>
      <w:r>
        <w:t>ITS Constellation</w:t>
      </w:r>
      <w:r>
        <w:tab/>
        <w:t xml:space="preserve">a group of ITS-Ss which </w:t>
      </w:r>
      <w:r w:rsidR="00BB5102">
        <w:t xml:space="preserve">can </w:t>
      </w:r>
      <w:r>
        <w:t xml:space="preserve">exchange information. </w:t>
      </w:r>
    </w:p>
    <w:p w14:paraId="7B8C9FC5" w14:textId="2FE91A6D" w:rsidR="00CF70BC" w:rsidRDefault="00CF70BC" w:rsidP="00CF70BC">
      <w:r>
        <w:t>ITS Service</w:t>
      </w:r>
      <w:r>
        <w:tab/>
      </w:r>
      <w:r>
        <w:tab/>
      </w:r>
      <w:r w:rsidR="00346CA7">
        <w:tab/>
      </w:r>
      <w:r w:rsidR="00346CA7">
        <w:tab/>
      </w:r>
      <w:r w:rsidR="008677F0">
        <w:tab/>
      </w:r>
      <w:r>
        <w:t xml:space="preserve">a service provided by an application </w:t>
      </w:r>
      <w:r w:rsidR="00A70CAC">
        <w:t xml:space="preserve">to an </w:t>
      </w:r>
      <w:r w:rsidR="00A70CAC" w:rsidRPr="00A70CAC">
        <w:t>end use</w:t>
      </w:r>
      <w:r w:rsidR="00A70CAC">
        <w:t xml:space="preserve">r </w:t>
      </w:r>
      <w:r>
        <w:t>or automated function.</w:t>
      </w:r>
    </w:p>
    <w:p w14:paraId="3EC2DBE0" w14:textId="0EA64AC6" w:rsidR="009A00D6" w:rsidRDefault="00CF70BC" w:rsidP="00FE546A">
      <w:pPr>
        <w:ind w:left="2272" w:hanging="2272"/>
      </w:pPr>
      <w:r>
        <w:t>ITS-S Service</w:t>
      </w:r>
      <w:r>
        <w:tab/>
        <w:t xml:space="preserve">a Facilities Layer service which </w:t>
      </w:r>
      <w:r w:rsidR="004B182F">
        <w:t xml:space="preserve">generates or </w:t>
      </w:r>
      <w:r>
        <w:t>processes</w:t>
      </w:r>
      <w:r w:rsidR="004B182F">
        <w:t xml:space="preserve"> data</w:t>
      </w:r>
      <w:r>
        <w:t xml:space="preserve">, </w:t>
      </w:r>
      <w:r w:rsidR="004B182F">
        <w:t xml:space="preserve">triggered by an application or other ITS-S Service, or a Facilities Layer service which executes system control functions for the purpose of correct operation of other ITS-S services or applications. </w:t>
      </w:r>
    </w:p>
    <w:p w14:paraId="4C54BD03" w14:textId="3C20D8F7" w:rsidR="008677F0" w:rsidRDefault="008677F0" w:rsidP="00915C63">
      <w:pPr>
        <w:ind w:left="2272" w:hanging="2272"/>
      </w:pPr>
      <w:r>
        <w:t xml:space="preserve">Communication </w:t>
      </w:r>
      <w:r w:rsidR="0068412E">
        <w:t>flows</w:t>
      </w:r>
      <w:r>
        <w:tab/>
        <w:t>the data path the information followed through a ITS from the sourcing ITS-S to the sinking ITS-S.</w:t>
      </w:r>
    </w:p>
    <w:p w14:paraId="12BC9EB0" w14:textId="40960FE4" w:rsidR="0038640D" w:rsidRDefault="0038640D" w:rsidP="0038640D">
      <w:pPr>
        <w:ind w:left="2272" w:hanging="2272"/>
      </w:pPr>
      <w:r>
        <w:t>Direct Communication</w:t>
      </w:r>
      <w:r>
        <w:tab/>
      </w:r>
      <w:r w:rsidR="005D172D">
        <w:t xml:space="preserve">the </w:t>
      </w:r>
      <w:r>
        <w:t>message exchange between data sourcing ITS-Ss and data sinking ITS-Ss, without involvement of intermediary networking routing functions.</w:t>
      </w:r>
    </w:p>
    <w:p w14:paraId="5665A21A" w14:textId="3241AF47" w:rsidR="0038640D" w:rsidRDefault="00207469" w:rsidP="005E4EBD">
      <w:pPr>
        <w:ind w:left="2832" w:hanging="560"/>
      </w:pPr>
      <w:r>
        <w:t>Note</w:t>
      </w:r>
      <w:r w:rsidR="0038640D">
        <w:t>:</w:t>
      </w:r>
      <w:r w:rsidR="0038640D">
        <w:tab/>
      </w:r>
      <w:r w:rsidR="008677F0">
        <w:t xml:space="preserve">Messages transported via Indirect Communication can be considered as Direct communicated when the messages can’t be processed (carried over in a secured envelope) along the indirect communication flow. </w:t>
      </w:r>
    </w:p>
    <w:p w14:paraId="19591BB4" w14:textId="57EC7425" w:rsidR="0038640D" w:rsidRDefault="0038640D" w:rsidP="0038640D">
      <w:pPr>
        <w:ind w:left="2272" w:hanging="2272"/>
      </w:pPr>
      <w:r>
        <w:t>Indirect Communication</w:t>
      </w:r>
      <w:r>
        <w:tab/>
      </w:r>
      <w:r w:rsidR="005D172D">
        <w:t xml:space="preserve">the </w:t>
      </w:r>
      <w:r>
        <w:t>message exchange between data sourcing ITS-Ss and data sinking ITS-Ss, with involvement intermediary networking routing functions such as the Internet.</w:t>
      </w:r>
    </w:p>
    <w:p w14:paraId="2A06D239" w14:textId="51CE7609" w:rsidR="00F7579B" w:rsidRDefault="007F1017" w:rsidP="0038640D">
      <w:pPr>
        <w:ind w:left="2272" w:hanging="2272"/>
      </w:pPr>
      <w:r>
        <w:t>extra</w:t>
      </w:r>
      <w:r w:rsidR="00F7579B">
        <w:t xml:space="preserve"> ITS</w:t>
      </w:r>
      <w:r w:rsidR="00654AAE">
        <w:tab/>
        <w:t>external ITS-S communication</w:t>
      </w:r>
      <w:r w:rsidR="00654AAE" w:rsidRPr="00654AAE">
        <w:t xml:space="preserve"> </w:t>
      </w:r>
      <w:r w:rsidR="00991192">
        <w:t xml:space="preserve">using a non-interoperable ITS </w:t>
      </w:r>
      <w:r w:rsidR="00223727">
        <w:t>or interference</w:t>
      </w:r>
      <w:r w:rsidR="00991192">
        <w:t xml:space="preserve"> from non-ITS sources, </w:t>
      </w:r>
      <w:r w:rsidR="003E1973">
        <w:t>also inter ITS.</w:t>
      </w:r>
    </w:p>
    <w:p w14:paraId="0F946E34" w14:textId="78931E38" w:rsidR="00F7579B" w:rsidRDefault="00F7579B" w:rsidP="0038640D">
      <w:pPr>
        <w:ind w:left="2272" w:hanging="2272"/>
      </w:pPr>
      <w:r>
        <w:t>intra ITS</w:t>
      </w:r>
      <w:r w:rsidR="00654AAE">
        <w:tab/>
        <w:t>internal ITS-S communication</w:t>
      </w:r>
      <w:r w:rsidR="00223727">
        <w:t xml:space="preserve"> </w:t>
      </w:r>
      <w:r w:rsidR="005C76B2">
        <w:t xml:space="preserve">using interoperable ITS </w:t>
      </w:r>
    </w:p>
    <w:p w14:paraId="4374FF4C" w14:textId="47448028" w:rsidR="0068412E" w:rsidRDefault="0068412E" w:rsidP="0038640D">
      <w:pPr>
        <w:ind w:left="2272" w:hanging="2272"/>
      </w:pPr>
      <w:r>
        <w:t>Quality of Service (QoS)</w:t>
      </w:r>
      <w:r>
        <w:tab/>
      </w:r>
      <w:r w:rsidRPr="0068412E">
        <w:t xml:space="preserve">a set of technologies that work on a network to guarantee its ability to dependably run high-priority applications and traffic under limited network capacity. </w:t>
      </w:r>
    </w:p>
    <w:p w14:paraId="36B64C09" w14:textId="519E024A" w:rsidR="0068412E" w:rsidRDefault="0068412E" w:rsidP="0038640D">
      <w:pPr>
        <w:ind w:left="2272" w:hanging="2272"/>
      </w:pPr>
      <w:r w:rsidRPr="0068412E">
        <w:t xml:space="preserve">QoS technologies </w:t>
      </w:r>
      <w:r>
        <w:tab/>
      </w:r>
      <w:r w:rsidRPr="0068412E">
        <w:t xml:space="preserve">accomplish </w:t>
      </w:r>
      <w:r>
        <w:t xml:space="preserve">QoS </w:t>
      </w:r>
      <w:r w:rsidRPr="0068412E">
        <w:t>this by providing differentiated handling and capacity allocation to specific flows in network traffic.</w:t>
      </w:r>
    </w:p>
    <w:p w14:paraId="3422DABE" w14:textId="3EFB3A36" w:rsidR="00161127" w:rsidRDefault="00161127" w:rsidP="0038640D">
      <w:pPr>
        <w:ind w:left="2272" w:hanging="2272"/>
      </w:pPr>
      <w:r>
        <w:t>Trustworthiness</w:t>
      </w:r>
      <w:r>
        <w:tab/>
      </w:r>
      <w:r w:rsidR="006643A4">
        <w:t xml:space="preserve">the </w:t>
      </w:r>
      <w:r>
        <w:t>ability to meet stakeholder expectations in a verifiable way</w:t>
      </w:r>
      <w:r w:rsidR="006643A4">
        <w:t xml:space="preserve">. Which includes aspects as accountability, accuracy, authenticity, availability, controllability and information security </w:t>
      </w:r>
      <w:r>
        <w:t>(</w:t>
      </w:r>
      <w:r w:rsidR="006643A4">
        <w:t xml:space="preserve">see for details the </w:t>
      </w:r>
      <w:r>
        <w:t>ISO 5723</w:t>
      </w:r>
      <w:r w:rsidR="006643A4">
        <w:t xml:space="preserve"> </w:t>
      </w:r>
      <w:r w:rsidR="006643A4">
        <w:fldChar w:fldCharType="begin"/>
      </w:r>
      <w:r w:rsidR="006643A4">
        <w:instrText xml:space="preserve"> REF ISO_TS5723 \h </w:instrText>
      </w:r>
      <w:r w:rsidR="006643A4">
        <w:fldChar w:fldCharType="separate"/>
      </w:r>
      <w:r w:rsidR="006643A4">
        <w:t>[i.30]</w:t>
      </w:r>
      <w:r w:rsidR="006643A4">
        <w:fldChar w:fldCharType="end"/>
      </w:r>
      <w:r>
        <w:t>)</w:t>
      </w:r>
      <w:r w:rsidR="006643A4">
        <w:t xml:space="preserve">. </w:t>
      </w:r>
    </w:p>
    <w:p w14:paraId="1F7A0817" w14:textId="77777777" w:rsidR="00F7579B" w:rsidDel="00C62CBC" w:rsidRDefault="00F7579B" w:rsidP="0038640D">
      <w:pPr>
        <w:ind w:left="2272" w:hanging="2272"/>
      </w:pPr>
    </w:p>
    <w:p w14:paraId="5479FA37" w14:textId="5B05D943" w:rsidR="00BB6418" w:rsidRPr="00F54712" w:rsidRDefault="00BB6418" w:rsidP="00F140CF">
      <w:pPr>
        <w:pStyle w:val="Heading2"/>
        <w:numPr>
          <w:ilvl w:val="1"/>
          <w:numId w:val="11"/>
        </w:numPr>
        <w:ind w:left="1134"/>
      </w:pPr>
      <w:bookmarkStart w:id="118" w:name="_Toc451532674"/>
      <w:bookmarkStart w:id="119" w:name="_Toc487531433"/>
      <w:bookmarkStart w:id="120" w:name="_Toc527986736"/>
      <w:bookmarkStart w:id="121" w:name="_Toc67666491"/>
      <w:bookmarkStart w:id="122" w:name="_Toc67667098"/>
      <w:bookmarkStart w:id="123" w:name="_Toc69827365"/>
      <w:bookmarkStart w:id="124" w:name="_Toc197336995"/>
      <w:r w:rsidRPr="00F54712">
        <w:t>Symbols</w:t>
      </w:r>
      <w:bookmarkEnd w:id="118"/>
      <w:bookmarkEnd w:id="119"/>
      <w:bookmarkEnd w:id="120"/>
      <w:bookmarkEnd w:id="121"/>
      <w:bookmarkEnd w:id="122"/>
      <w:bookmarkEnd w:id="123"/>
      <w:bookmarkEnd w:id="124"/>
    </w:p>
    <w:p w14:paraId="795D9D0E" w14:textId="2160118C" w:rsidR="00663363" w:rsidRDefault="00663363" w:rsidP="001F09A0">
      <w:r w:rsidRPr="00A154F0">
        <w:t>For the purposes of the present document, the [following] symbols [given in ... and the following] apply:</w:t>
      </w:r>
    </w:p>
    <w:p w14:paraId="175F16AD" w14:textId="2A10CFF5" w:rsidR="00AC7216" w:rsidRPr="00F54712" w:rsidRDefault="00AC7216" w:rsidP="00F140CF">
      <w:pPr>
        <w:pStyle w:val="Heading2"/>
        <w:numPr>
          <w:ilvl w:val="1"/>
          <w:numId w:val="11"/>
        </w:numPr>
        <w:ind w:left="1134"/>
      </w:pPr>
      <w:bookmarkStart w:id="125" w:name="_Toc451532675"/>
      <w:bookmarkStart w:id="126" w:name="_Toc487531434"/>
      <w:bookmarkStart w:id="127" w:name="_Toc527986737"/>
      <w:bookmarkStart w:id="128" w:name="_Toc67666492"/>
      <w:bookmarkStart w:id="129" w:name="_Toc67667099"/>
      <w:bookmarkStart w:id="130" w:name="_Toc69827366"/>
      <w:bookmarkStart w:id="131" w:name="_Toc197336996"/>
      <w:r w:rsidRPr="00F54712">
        <w:t>Abbreviations</w:t>
      </w:r>
      <w:bookmarkEnd w:id="125"/>
      <w:bookmarkEnd w:id="126"/>
      <w:bookmarkEnd w:id="127"/>
      <w:bookmarkEnd w:id="128"/>
      <w:bookmarkEnd w:id="129"/>
      <w:bookmarkEnd w:id="130"/>
      <w:bookmarkEnd w:id="131"/>
    </w:p>
    <w:p w14:paraId="35F5B69A" w14:textId="77777777" w:rsidR="00AC7216" w:rsidRDefault="00AC7216" w:rsidP="00AC7216">
      <w:pPr>
        <w:keepNext/>
      </w:pPr>
      <w:r w:rsidRPr="00F54712">
        <w:t>For the purposes of the present document, the [following] abbreviations [given in ... and the following] apply:</w:t>
      </w:r>
    </w:p>
    <w:p w14:paraId="5F738A78" w14:textId="08F6707A" w:rsidR="004E5EAC" w:rsidRPr="002013A4" w:rsidRDefault="004E5EAC" w:rsidP="00A4259C">
      <w:pPr>
        <w:keepNext/>
        <w:spacing w:after="0"/>
        <w:rPr>
          <w:lang w:val="it-IT"/>
        </w:rPr>
      </w:pPr>
      <w:r w:rsidRPr="002013A4">
        <w:rPr>
          <w:lang w:val="it-IT"/>
        </w:rPr>
        <w:t>AI</w:t>
      </w:r>
      <w:r w:rsidRPr="002013A4">
        <w:rPr>
          <w:lang w:val="it-IT"/>
        </w:rPr>
        <w:tab/>
      </w:r>
      <w:r w:rsidRPr="002013A4">
        <w:rPr>
          <w:lang w:val="it-IT"/>
        </w:rPr>
        <w:tab/>
      </w:r>
      <w:r w:rsidRPr="002013A4">
        <w:rPr>
          <w:lang w:val="it-IT"/>
        </w:rPr>
        <w:tab/>
      </w:r>
      <w:r w:rsidRPr="002013A4">
        <w:rPr>
          <w:lang w:val="it-IT"/>
        </w:rPr>
        <w:tab/>
      </w:r>
      <w:r w:rsidR="003C1F08" w:rsidRPr="002013A4">
        <w:rPr>
          <w:lang w:val="it-IT"/>
        </w:rPr>
        <w:t>Artificial</w:t>
      </w:r>
      <w:r w:rsidRPr="002013A4">
        <w:rPr>
          <w:lang w:val="it-IT"/>
        </w:rPr>
        <w:t xml:space="preserve"> Intelligence</w:t>
      </w:r>
    </w:p>
    <w:p w14:paraId="6E93F568" w14:textId="77777777" w:rsidR="004E5EAC" w:rsidRPr="002013A4" w:rsidRDefault="004E5EAC" w:rsidP="00A4259C">
      <w:pPr>
        <w:keepNext/>
        <w:spacing w:after="0"/>
        <w:rPr>
          <w:lang w:val="it-IT"/>
        </w:rPr>
      </w:pPr>
      <w:r w:rsidRPr="002013A4">
        <w:rPr>
          <w:lang w:val="it-IT"/>
        </w:rPr>
        <w:t>AL</w:t>
      </w:r>
      <w:r w:rsidRPr="002013A4">
        <w:rPr>
          <w:lang w:val="it-IT"/>
        </w:rPr>
        <w:tab/>
      </w:r>
      <w:r w:rsidRPr="002013A4">
        <w:rPr>
          <w:lang w:val="it-IT"/>
        </w:rPr>
        <w:tab/>
      </w:r>
      <w:r w:rsidRPr="002013A4">
        <w:rPr>
          <w:lang w:val="it-IT"/>
        </w:rPr>
        <w:tab/>
      </w:r>
      <w:r w:rsidRPr="002013A4">
        <w:rPr>
          <w:lang w:val="it-IT"/>
        </w:rPr>
        <w:tab/>
        <w:t>Access Layer</w:t>
      </w:r>
    </w:p>
    <w:p w14:paraId="3D3A927D" w14:textId="77777777" w:rsidR="004E5EAC" w:rsidRPr="00F140CF" w:rsidRDefault="004E5EAC" w:rsidP="00A4259C">
      <w:pPr>
        <w:keepNext/>
        <w:spacing w:after="0"/>
        <w:rPr>
          <w:lang w:val="en-US"/>
        </w:rPr>
      </w:pPr>
      <w:r w:rsidRPr="00F140CF">
        <w:rPr>
          <w:lang w:val="en-US"/>
        </w:rPr>
        <w:t xml:space="preserve">ALN </w:t>
      </w:r>
      <w:r w:rsidRPr="00F140CF">
        <w:rPr>
          <w:lang w:val="en-US"/>
        </w:rPr>
        <w:tab/>
      </w:r>
      <w:r w:rsidRPr="00F140CF">
        <w:rPr>
          <w:lang w:val="en-US"/>
        </w:rPr>
        <w:tab/>
      </w:r>
      <w:r w:rsidRPr="00F140CF">
        <w:rPr>
          <w:lang w:val="en-US"/>
        </w:rPr>
        <w:tab/>
        <w:t>Access Layer Notifications</w:t>
      </w:r>
    </w:p>
    <w:p w14:paraId="0B129B0F" w14:textId="77777777" w:rsidR="004E5EAC" w:rsidRDefault="004E5EAC" w:rsidP="00A4259C">
      <w:pPr>
        <w:keepNext/>
        <w:spacing w:after="0"/>
      </w:pPr>
      <w:r>
        <w:t>ASIL</w:t>
      </w:r>
      <w:r>
        <w:tab/>
      </w:r>
      <w:r>
        <w:tab/>
      </w:r>
      <w:r>
        <w:tab/>
        <w:t>Automation S</w:t>
      </w:r>
      <w:r w:rsidRPr="001375F0">
        <w:t xml:space="preserve">afety </w:t>
      </w:r>
      <w:r>
        <w:t>I</w:t>
      </w:r>
      <w:r w:rsidRPr="001375F0">
        <w:t xml:space="preserve">ntegrity </w:t>
      </w:r>
      <w:r>
        <w:t>L</w:t>
      </w:r>
      <w:r w:rsidRPr="001375F0">
        <w:t>evel</w:t>
      </w:r>
    </w:p>
    <w:p w14:paraId="63D3332A" w14:textId="77777777" w:rsidR="004E5EAC" w:rsidRDefault="004E5EAC" w:rsidP="00A4259C">
      <w:pPr>
        <w:keepNext/>
        <w:spacing w:after="0"/>
      </w:pPr>
      <w:r>
        <w:t>AVM</w:t>
      </w:r>
      <w:r>
        <w:tab/>
      </w:r>
      <w:r>
        <w:tab/>
      </w:r>
      <w:r>
        <w:tab/>
      </w:r>
      <w:r w:rsidRPr="00283841">
        <w:t>Automated Vehicle Marshalling</w:t>
      </w:r>
    </w:p>
    <w:p w14:paraId="385EAC3F" w14:textId="77777777" w:rsidR="004E5EAC" w:rsidRDefault="004E5EAC" w:rsidP="00A4259C">
      <w:pPr>
        <w:keepNext/>
        <w:spacing w:after="0"/>
      </w:pPr>
      <w:r>
        <w:t>BE</w:t>
      </w:r>
      <w:r>
        <w:tab/>
      </w:r>
      <w:r>
        <w:tab/>
      </w:r>
      <w:r>
        <w:tab/>
      </w:r>
      <w:r>
        <w:tab/>
        <w:t>Best Effort</w:t>
      </w:r>
    </w:p>
    <w:p w14:paraId="2302CC7F" w14:textId="77777777" w:rsidR="004E5EAC" w:rsidRDefault="004E5EAC" w:rsidP="00A4259C">
      <w:pPr>
        <w:keepNext/>
        <w:spacing w:after="0"/>
      </w:pPr>
      <w:r>
        <w:t xml:space="preserve">BME </w:t>
      </w:r>
      <w:r>
        <w:tab/>
      </w:r>
      <w:r>
        <w:tab/>
      </w:r>
      <w:r>
        <w:tab/>
        <w:t>Bandwidth Management Entity</w:t>
      </w:r>
    </w:p>
    <w:p w14:paraId="3D6BF549" w14:textId="77777777" w:rsidR="004E5EAC" w:rsidRDefault="004E5EAC" w:rsidP="00A4259C">
      <w:pPr>
        <w:keepNext/>
        <w:spacing w:after="0"/>
      </w:pPr>
      <w:r>
        <w:t>CA</w:t>
      </w:r>
      <w:r>
        <w:tab/>
      </w:r>
      <w:r>
        <w:tab/>
      </w:r>
      <w:r>
        <w:tab/>
      </w:r>
      <w:r>
        <w:tab/>
        <w:t>Cooperative Awareness</w:t>
      </w:r>
    </w:p>
    <w:p w14:paraId="71ADC07E" w14:textId="77777777" w:rsidR="004E5EAC" w:rsidRDefault="004E5EAC" w:rsidP="00A4259C">
      <w:pPr>
        <w:keepNext/>
        <w:spacing w:after="0"/>
      </w:pPr>
      <w:r>
        <w:t>CAM</w:t>
      </w:r>
      <w:r>
        <w:tab/>
      </w:r>
      <w:r>
        <w:tab/>
      </w:r>
      <w:r>
        <w:tab/>
        <w:t>Cooperative Awareness Message</w:t>
      </w:r>
    </w:p>
    <w:p w14:paraId="39798F9B" w14:textId="34680D50" w:rsidR="003974D4" w:rsidRDefault="003974D4" w:rsidP="00A4259C">
      <w:pPr>
        <w:keepNext/>
        <w:spacing w:after="0"/>
      </w:pPr>
      <w:r>
        <w:t>CC</w:t>
      </w:r>
      <w:r>
        <w:tab/>
      </w:r>
      <w:r>
        <w:tab/>
      </w:r>
      <w:r>
        <w:tab/>
      </w:r>
      <w:r>
        <w:tab/>
        <w:t>Congestion Control</w:t>
      </w:r>
    </w:p>
    <w:p w14:paraId="31BE8CD9" w14:textId="77777777" w:rsidR="004E5EAC" w:rsidRDefault="004E5EAC" w:rsidP="00A4259C">
      <w:pPr>
        <w:keepNext/>
        <w:spacing w:after="0"/>
      </w:pPr>
      <w:r>
        <w:t>C-ITS</w:t>
      </w:r>
      <w:r>
        <w:tab/>
      </w:r>
      <w:r>
        <w:tab/>
      </w:r>
      <w:r>
        <w:tab/>
        <w:t>Cooperative Intelligent Transportation Systems</w:t>
      </w:r>
    </w:p>
    <w:p w14:paraId="762E2A09" w14:textId="77777777" w:rsidR="004E5EAC" w:rsidRDefault="004E5EAC" w:rsidP="00A4259C">
      <w:pPr>
        <w:keepNext/>
        <w:spacing w:after="0"/>
      </w:pPr>
      <w:r>
        <w:t>CBR</w:t>
      </w:r>
      <w:r>
        <w:tab/>
      </w:r>
      <w:r>
        <w:tab/>
      </w:r>
      <w:r>
        <w:tab/>
        <w:t>Channel Busy Ratio</w:t>
      </w:r>
    </w:p>
    <w:p w14:paraId="640F86DD" w14:textId="77777777" w:rsidR="004E5EAC" w:rsidRDefault="004E5EAC" w:rsidP="00A4259C">
      <w:pPr>
        <w:keepNext/>
        <w:spacing w:after="0"/>
      </w:pPr>
      <w:r>
        <w:t>CL</w:t>
      </w:r>
      <w:r>
        <w:tab/>
      </w:r>
      <w:r>
        <w:tab/>
      </w:r>
      <w:r>
        <w:tab/>
      </w:r>
      <w:r>
        <w:tab/>
        <w:t>Channel Load</w:t>
      </w:r>
    </w:p>
    <w:p w14:paraId="528133F2" w14:textId="77777777" w:rsidR="004E5EAC" w:rsidRDefault="004E5EAC" w:rsidP="00A4259C">
      <w:pPr>
        <w:keepNext/>
        <w:spacing w:after="0"/>
      </w:pPr>
      <w:r>
        <w:t>CP</w:t>
      </w:r>
      <w:r>
        <w:tab/>
      </w:r>
      <w:r>
        <w:tab/>
      </w:r>
      <w:r>
        <w:tab/>
      </w:r>
      <w:r>
        <w:tab/>
        <w:t>Collective Perception</w:t>
      </w:r>
    </w:p>
    <w:p w14:paraId="41B2A534" w14:textId="77777777" w:rsidR="004E5EAC" w:rsidRDefault="004E5EAC" w:rsidP="00A4259C">
      <w:pPr>
        <w:keepNext/>
        <w:spacing w:after="0"/>
      </w:pPr>
      <w:r>
        <w:t>CPM</w:t>
      </w:r>
      <w:r>
        <w:tab/>
      </w:r>
      <w:r>
        <w:tab/>
      </w:r>
      <w:r>
        <w:tab/>
        <w:t>Collective Perception Message</w:t>
      </w:r>
    </w:p>
    <w:p w14:paraId="7D789101" w14:textId="77777777" w:rsidR="004E5EAC" w:rsidRDefault="004E5EAC" w:rsidP="00A4259C">
      <w:pPr>
        <w:keepNext/>
        <w:spacing w:after="0"/>
      </w:pPr>
      <w:r>
        <w:t>CSMA</w:t>
      </w:r>
      <w:r>
        <w:tab/>
      </w:r>
      <w:r>
        <w:tab/>
      </w:r>
      <w:r>
        <w:tab/>
        <w:t>Carrier Sense Multiple Access</w:t>
      </w:r>
    </w:p>
    <w:p w14:paraId="155FE0C2" w14:textId="77777777" w:rsidR="004E5EAC" w:rsidRDefault="004E5EAC" w:rsidP="00A4259C">
      <w:pPr>
        <w:keepNext/>
        <w:spacing w:after="0"/>
      </w:pPr>
      <w:r w:rsidRPr="00071E55">
        <w:t>CW</w:t>
      </w:r>
      <w:r>
        <w:tab/>
      </w:r>
      <w:r>
        <w:tab/>
      </w:r>
      <w:r>
        <w:tab/>
        <w:t>Continues Wave</w:t>
      </w:r>
    </w:p>
    <w:p w14:paraId="1A3E1CAA" w14:textId="77777777" w:rsidR="004E5EAC" w:rsidRDefault="004E5EAC" w:rsidP="00A4259C">
      <w:pPr>
        <w:keepNext/>
        <w:spacing w:after="0"/>
      </w:pPr>
      <w:r>
        <w:t>DEN</w:t>
      </w:r>
      <w:r>
        <w:tab/>
      </w:r>
      <w:r>
        <w:tab/>
      </w:r>
      <w:r>
        <w:tab/>
        <w:t>Decentralized Environmental Notification</w:t>
      </w:r>
    </w:p>
    <w:p w14:paraId="5BDE6359" w14:textId="77777777" w:rsidR="004E5EAC" w:rsidRDefault="004E5EAC" w:rsidP="00A4259C">
      <w:pPr>
        <w:keepNext/>
        <w:spacing w:after="0"/>
      </w:pPr>
      <w:r>
        <w:t>DENM</w:t>
      </w:r>
      <w:r>
        <w:tab/>
      </w:r>
      <w:r>
        <w:tab/>
        <w:t>Decentralized Environmental Notification Message</w:t>
      </w:r>
    </w:p>
    <w:p w14:paraId="7D963302" w14:textId="77777777" w:rsidR="004E5EAC" w:rsidRDefault="004E5EAC" w:rsidP="00A4259C">
      <w:pPr>
        <w:keepNext/>
        <w:spacing w:after="0"/>
      </w:pPr>
      <w:r>
        <w:t>DCC</w:t>
      </w:r>
      <w:r>
        <w:tab/>
      </w:r>
      <w:r>
        <w:tab/>
      </w:r>
      <w:r>
        <w:tab/>
        <w:t>Decentralized Congestion Control</w:t>
      </w:r>
    </w:p>
    <w:p w14:paraId="3F9CE238" w14:textId="5832DFB6" w:rsidR="00CD71DD" w:rsidRDefault="00CD71DD" w:rsidP="00A4259C">
      <w:pPr>
        <w:keepNext/>
        <w:spacing w:after="0"/>
      </w:pPr>
      <w:r>
        <w:t>DoS</w:t>
      </w:r>
      <w:r>
        <w:tab/>
      </w:r>
      <w:r>
        <w:tab/>
      </w:r>
      <w:r>
        <w:tab/>
        <w:t>Denial-of Service</w:t>
      </w:r>
    </w:p>
    <w:p w14:paraId="062FC03A" w14:textId="77777777" w:rsidR="004E5EAC" w:rsidRDefault="004E5EAC" w:rsidP="00A4259C">
      <w:pPr>
        <w:keepNext/>
        <w:spacing w:after="0"/>
      </w:pPr>
      <w:r>
        <w:t>ECC</w:t>
      </w:r>
      <w:r>
        <w:tab/>
      </w:r>
      <w:r>
        <w:tab/>
      </w:r>
      <w:r>
        <w:tab/>
      </w:r>
      <w:r w:rsidRPr="00E26F31">
        <w:t>Electronic Communications Committee</w:t>
      </w:r>
    </w:p>
    <w:p w14:paraId="70EE2525" w14:textId="77777777" w:rsidR="004E5EAC" w:rsidRDefault="004E5EAC" w:rsidP="00A4259C">
      <w:pPr>
        <w:keepNext/>
        <w:spacing w:after="0"/>
      </w:pPr>
      <w:r>
        <w:t>EIRP</w:t>
      </w:r>
      <w:r>
        <w:tab/>
      </w:r>
      <w:r>
        <w:tab/>
      </w:r>
      <w:r>
        <w:tab/>
        <w:t>Effective Ideal Radiated Power</w:t>
      </w:r>
    </w:p>
    <w:p w14:paraId="7B13DF7E" w14:textId="77777777" w:rsidR="004E5EAC" w:rsidRDefault="004E5EAC" w:rsidP="00A4259C">
      <w:pPr>
        <w:keepNext/>
        <w:spacing w:after="0"/>
      </w:pPr>
      <w:r>
        <w:t>EU</w:t>
      </w:r>
      <w:r>
        <w:tab/>
      </w:r>
      <w:r>
        <w:tab/>
      </w:r>
      <w:r>
        <w:tab/>
      </w:r>
      <w:r>
        <w:tab/>
        <w:t>European Union</w:t>
      </w:r>
    </w:p>
    <w:p w14:paraId="4471E9EC" w14:textId="77777777" w:rsidR="004E5EAC" w:rsidRDefault="004E5EAC" w:rsidP="00A4259C">
      <w:pPr>
        <w:keepNext/>
        <w:spacing w:after="0"/>
      </w:pPr>
      <w:r>
        <w:t>FAC</w:t>
      </w:r>
      <w:r>
        <w:tab/>
      </w:r>
      <w:r>
        <w:tab/>
      </w:r>
      <w:r>
        <w:tab/>
        <w:t>Facility</w:t>
      </w:r>
    </w:p>
    <w:p w14:paraId="6127D408" w14:textId="77777777" w:rsidR="004E5EAC" w:rsidRDefault="004E5EAC" w:rsidP="00A4259C">
      <w:pPr>
        <w:keepNext/>
        <w:spacing w:after="0"/>
      </w:pPr>
      <w:r>
        <w:t>FL</w:t>
      </w:r>
      <w:r>
        <w:tab/>
      </w:r>
      <w:r>
        <w:tab/>
      </w:r>
      <w:r>
        <w:tab/>
      </w:r>
      <w:r>
        <w:tab/>
        <w:t>Facilities Layer</w:t>
      </w:r>
    </w:p>
    <w:p w14:paraId="4FFE13D1" w14:textId="77777777" w:rsidR="004E5EAC" w:rsidRDefault="004E5EAC" w:rsidP="00A4259C">
      <w:pPr>
        <w:keepNext/>
        <w:spacing w:after="0"/>
      </w:pPr>
      <w:r>
        <w:t>LCLR</w:t>
      </w:r>
      <w:r>
        <w:tab/>
      </w:r>
      <w:r>
        <w:tab/>
      </w:r>
      <w:r>
        <w:tab/>
        <w:t>Local Channel Load Ratio</w:t>
      </w:r>
    </w:p>
    <w:p w14:paraId="614B1BC1" w14:textId="77777777" w:rsidR="004E5EAC" w:rsidRDefault="004E5EAC" w:rsidP="00A4259C">
      <w:pPr>
        <w:keepNext/>
        <w:spacing w:after="0"/>
      </w:pPr>
      <w:r>
        <w:t>I2V</w:t>
      </w:r>
      <w:r>
        <w:tab/>
      </w:r>
      <w:r>
        <w:tab/>
      </w:r>
      <w:r>
        <w:tab/>
        <w:t>Infrastructure to Vehicle</w:t>
      </w:r>
    </w:p>
    <w:p w14:paraId="1974AB5C" w14:textId="77777777" w:rsidR="004E5EAC" w:rsidRDefault="004E5EAC" w:rsidP="00A4259C">
      <w:pPr>
        <w:keepNext/>
        <w:spacing w:after="0"/>
      </w:pPr>
      <w:r>
        <w:t>ICT</w:t>
      </w:r>
      <w:r>
        <w:tab/>
      </w:r>
      <w:r>
        <w:tab/>
      </w:r>
      <w:r>
        <w:tab/>
        <w:t xml:space="preserve">Internet Communication Technology </w:t>
      </w:r>
    </w:p>
    <w:p w14:paraId="169F51C3" w14:textId="77777777" w:rsidR="004E5EAC" w:rsidRDefault="004E5EAC" w:rsidP="00A4259C">
      <w:pPr>
        <w:keepNext/>
        <w:spacing w:after="0"/>
      </w:pPr>
      <w:r>
        <w:t>ITS</w:t>
      </w:r>
      <w:r>
        <w:tab/>
      </w:r>
      <w:r>
        <w:tab/>
      </w:r>
      <w:r>
        <w:tab/>
        <w:t>Intelligent Transportation Systems</w:t>
      </w:r>
    </w:p>
    <w:p w14:paraId="1E082394" w14:textId="34B65E71" w:rsidR="00FE546A" w:rsidRDefault="00FE546A" w:rsidP="00A4259C">
      <w:pPr>
        <w:keepNext/>
        <w:spacing w:after="0"/>
      </w:pPr>
      <w:r>
        <w:t>ITS-C</w:t>
      </w:r>
      <w:r>
        <w:tab/>
      </w:r>
      <w:r>
        <w:tab/>
      </w:r>
      <w:r>
        <w:tab/>
        <w:t>Intelligent Transportation Systems Constellation</w:t>
      </w:r>
    </w:p>
    <w:p w14:paraId="791070FD" w14:textId="77777777" w:rsidR="004E5EAC" w:rsidRDefault="004E5EAC" w:rsidP="00A4259C">
      <w:pPr>
        <w:keepNext/>
        <w:spacing w:after="0"/>
      </w:pPr>
      <w:r>
        <w:t>ITS-S</w:t>
      </w:r>
      <w:r>
        <w:tab/>
      </w:r>
      <w:r>
        <w:tab/>
      </w:r>
      <w:r>
        <w:tab/>
        <w:t>Intelligent Transportation Systems Station</w:t>
      </w:r>
    </w:p>
    <w:p w14:paraId="06CBA13C" w14:textId="77777777" w:rsidR="004E5EAC" w:rsidRDefault="004E5EAC" w:rsidP="00A4259C">
      <w:pPr>
        <w:keepNext/>
        <w:spacing w:after="0"/>
      </w:pPr>
      <w:r>
        <w:t>IVI</w:t>
      </w:r>
      <w:r>
        <w:tab/>
      </w:r>
      <w:r>
        <w:tab/>
      </w:r>
      <w:r>
        <w:tab/>
      </w:r>
      <w:r>
        <w:tab/>
      </w:r>
      <w:r w:rsidRPr="00D154AA">
        <w:t>Infrastructure to Vehicle Information</w:t>
      </w:r>
    </w:p>
    <w:p w14:paraId="4CF52FEC" w14:textId="77777777" w:rsidR="004E5EAC" w:rsidRDefault="004E5EAC" w:rsidP="00A4259C">
      <w:pPr>
        <w:keepNext/>
        <w:spacing w:after="0"/>
      </w:pPr>
      <w:r>
        <w:t>LTE</w:t>
      </w:r>
      <w:r>
        <w:tab/>
      </w:r>
      <w:r>
        <w:tab/>
      </w:r>
      <w:r>
        <w:tab/>
        <w:t>Long-Term Evolution</w:t>
      </w:r>
    </w:p>
    <w:p w14:paraId="753C4241" w14:textId="77777777" w:rsidR="004E5EAC" w:rsidRDefault="004E5EAC" w:rsidP="00A4259C">
      <w:pPr>
        <w:keepNext/>
        <w:spacing w:after="0"/>
      </w:pPr>
      <w:r>
        <w:t>MAC</w:t>
      </w:r>
      <w:r>
        <w:tab/>
      </w:r>
      <w:r>
        <w:tab/>
      </w:r>
      <w:r>
        <w:tab/>
        <w:t>Medium Access Control</w:t>
      </w:r>
    </w:p>
    <w:p w14:paraId="23C6A96E" w14:textId="77777777" w:rsidR="004E5EAC" w:rsidRDefault="004E5EAC" w:rsidP="00A4259C">
      <w:pPr>
        <w:keepNext/>
        <w:spacing w:after="0"/>
      </w:pPr>
      <w:r>
        <w:t>MAPEM</w:t>
      </w:r>
      <w:r>
        <w:tab/>
      </w:r>
      <w:r>
        <w:tab/>
      </w:r>
      <w:r w:rsidRPr="00D154AA">
        <w:t>MAP (topology) Extended Message</w:t>
      </w:r>
    </w:p>
    <w:p w14:paraId="175EB782" w14:textId="77777777" w:rsidR="004E5EAC" w:rsidRDefault="004E5EAC" w:rsidP="00A4259C">
      <w:pPr>
        <w:keepNext/>
        <w:spacing w:after="0"/>
      </w:pPr>
      <w:r>
        <w:t>MCO</w:t>
      </w:r>
      <w:r>
        <w:tab/>
      </w:r>
      <w:r>
        <w:tab/>
      </w:r>
      <w:r>
        <w:tab/>
        <w:t>Multi-Channel Operation</w:t>
      </w:r>
    </w:p>
    <w:p w14:paraId="27B2A1D6" w14:textId="77777777" w:rsidR="004E5EAC" w:rsidRDefault="004E5EAC" w:rsidP="00A4259C">
      <w:pPr>
        <w:keepNext/>
        <w:spacing w:after="0"/>
      </w:pPr>
      <w:r>
        <w:t>MIM</w:t>
      </w:r>
      <w:r>
        <w:tab/>
      </w:r>
      <w:r>
        <w:tab/>
      </w:r>
      <w:r>
        <w:tab/>
      </w:r>
      <w:r w:rsidRPr="00031D6D">
        <w:t>Marshalling Infrastructure Message</w:t>
      </w:r>
    </w:p>
    <w:p w14:paraId="0AF75DA5" w14:textId="77777777" w:rsidR="004E5EAC" w:rsidRDefault="004E5EAC" w:rsidP="00A4259C">
      <w:pPr>
        <w:keepNext/>
        <w:spacing w:after="0"/>
      </w:pPr>
      <w:r>
        <w:t>MVM</w:t>
      </w:r>
      <w:r>
        <w:tab/>
      </w:r>
      <w:r>
        <w:tab/>
      </w:r>
      <w:r>
        <w:tab/>
      </w:r>
      <w:r w:rsidRPr="00031D6D">
        <w:t>Marshalling Vehicle Message</w:t>
      </w:r>
    </w:p>
    <w:p w14:paraId="4ED040AF" w14:textId="77777777" w:rsidR="004E5EAC" w:rsidRDefault="004E5EAC" w:rsidP="00A4259C">
      <w:pPr>
        <w:keepNext/>
        <w:spacing w:after="0"/>
      </w:pPr>
      <w:r>
        <w:t>NL</w:t>
      </w:r>
      <w:r>
        <w:tab/>
      </w:r>
      <w:r>
        <w:tab/>
      </w:r>
      <w:r>
        <w:tab/>
      </w:r>
      <w:r>
        <w:tab/>
        <w:t>Networking and Transport Layer</w:t>
      </w:r>
    </w:p>
    <w:p w14:paraId="264E46D4" w14:textId="77777777" w:rsidR="004E5EAC" w:rsidRDefault="004E5EAC" w:rsidP="00A4259C">
      <w:pPr>
        <w:keepNext/>
        <w:spacing w:after="0"/>
      </w:pPr>
      <w:r>
        <w:t>NR</w:t>
      </w:r>
      <w:r>
        <w:tab/>
      </w:r>
      <w:r>
        <w:tab/>
      </w:r>
      <w:r>
        <w:tab/>
      </w:r>
      <w:r>
        <w:tab/>
        <w:t>New Radio</w:t>
      </w:r>
    </w:p>
    <w:p w14:paraId="23FFF0E9" w14:textId="77777777" w:rsidR="004E5EAC" w:rsidRDefault="004E5EAC" w:rsidP="00A4259C">
      <w:pPr>
        <w:keepNext/>
        <w:spacing w:after="0"/>
      </w:pPr>
      <w:r>
        <w:t>QoS</w:t>
      </w:r>
      <w:r>
        <w:tab/>
      </w:r>
      <w:r>
        <w:tab/>
      </w:r>
      <w:r>
        <w:tab/>
        <w:t>Quality of Service</w:t>
      </w:r>
    </w:p>
    <w:p w14:paraId="2CC9CF78" w14:textId="77777777" w:rsidR="004E5EAC" w:rsidRDefault="004E5EAC" w:rsidP="00A4259C">
      <w:pPr>
        <w:keepNext/>
        <w:spacing w:after="0"/>
      </w:pPr>
      <w:r w:rsidRPr="00071E55">
        <w:t>QPSK</w:t>
      </w:r>
      <w:r>
        <w:tab/>
      </w:r>
      <w:r>
        <w:tab/>
      </w:r>
      <w:r>
        <w:tab/>
      </w:r>
      <w:r w:rsidRPr="00E26F31">
        <w:t>Quadrature Phase Shift Keying</w:t>
      </w:r>
    </w:p>
    <w:p w14:paraId="55290A9B" w14:textId="77777777" w:rsidR="004E5EAC" w:rsidRDefault="004E5EAC" w:rsidP="00A4259C">
      <w:pPr>
        <w:keepNext/>
        <w:spacing w:after="0"/>
      </w:pPr>
      <w:r>
        <w:t>RM</w:t>
      </w:r>
      <w:r>
        <w:tab/>
      </w:r>
      <w:r>
        <w:tab/>
      </w:r>
      <w:r>
        <w:tab/>
        <w:t>Resource Management</w:t>
      </w:r>
    </w:p>
    <w:p w14:paraId="2288B83F" w14:textId="77777777" w:rsidR="004E5EAC" w:rsidRDefault="004E5EAC" w:rsidP="00A4259C">
      <w:pPr>
        <w:keepNext/>
        <w:spacing w:after="0"/>
      </w:pPr>
      <w:r>
        <w:t xml:space="preserve">RWW </w:t>
      </w:r>
      <w:r>
        <w:tab/>
      </w:r>
      <w:r>
        <w:tab/>
      </w:r>
      <w:r>
        <w:tab/>
        <w:t>Roads Works Warning</w:t>
      </w:r>
    </w:p>
    <w:p w14:paraId="72111DDA" w14:textId="77777777" w:rsidR="004E5EAC" w:rsidRDefault="004E5EAC" w:rsidP="00A4259C">
      <w:pPr>
        <w:keepNext/>
        <w:spacing w:after="0"/>
      </w:pPr>
      <w:r>
        <w:t>SAM</w:t>
      </w:r>
      <w:r>
        <w:tab/>
      </w:r>
      <w:r>
        <w:tab/>
      </w:r>
      <w:r>
        <w:tab/>
        <w:t>Service Announcement Message</w:t>
      </w:r>
    </w:p>
    <w:p w14:paraId="15B333A7" w14:textId="77777777" w:rsidR="004E5EAC" w:rsidRDefault="004E5EAC" w:rsidP="00A4259C">
      <w:pPr>
        <w:keepNext/>
        <w:spacing w:after="0"/>
      </w:pPr>
      <w:r>
        <w:t xml:space="preserve">SDV </w:t>
      </w:r>
      <w:r>
        <w:tab/>
      </w:r>
      <w:r>
        <w:tab/>
      </w:r>
      <w:r>
        <w:tab/>
        <w:t>Slow Driving Vehicle</w:t>
      </w:r>
    </w:p>
    <w:p w14:paraId="16D14019" w14:textId="77777777" w:rsidR="004E5EAC" w:rsidRDefault="004E5EAC" w:rsidP="00A4259C">
      <w:pPr>
        <w:keepNext/>
        <w:spacing w:after="0"/>
      </w:pPr>
      <w:r w:rsidRPr="00D154AA">
        <w:t xml:space="preserve">SINR </w:t>
      </w:r>
      <w:r>
        <w:tab/>
      </w:r>
      <w:r>
        <w:tab/>
      </w:r>
      <w:r>
        <w:tab/>
        <w:t>S</w:t>
      </w:r>
      <w:r w:rsidRPr="00D154AA">
        <w:t xml:space="preserve">ignal to </w:t>
      </w:r>
      <w:r>
        <w:t>N</w:t>
      </w:r>
      <w:r w:rsidRPr="00D154AA">
        <w:t xml:space="preserve">oise </w:t>
      </w:r>
      <w:r>
        <w:t>I</w:t>
      </w:r>
      <w:r w:rsidRPr="00D154AA">
        <w:t xml:space="preserve">nterference </w:t>
      </w:r>
      <w:r>
        <w:t>R</w:t>
      </w:r>
      <w:r w:rsidRPr="00D154AA">
        <w:t>atio</w:t>
      </w:r>
    </w:p>
    <w:p w14:paraId="7494BBEC" w14:textId="77777777" w:rsidR="004E5EAC" w:rsidRDefault="004E5EAC" w:rsidP="00A4259C">
      <w:pPr>
        <w:keepNext/>
        <w:spacing w:after="0"/>
      </w:pPr>
      <w:r>
        <w:t>SPATEM</w:t>
      </w:r>
      <w:r>
        <w:tab/>
      </w:r>
      <w:r>
        <w:tab/>
      </w:r>
      <w:r w:rsidRPr="00031D6D">
        <w:t xml:space="preserve">Signal Phase </w:t>
      </w:r>
      <w:r>
        <w:t>a</w:t>
      </w:r>
      <w:r w:rsidRPr="00031D6D">
        <w:t>nd Timing</w:t>
      </w:r>
    </w:p>
    <w:p w14:paraId="08FA3976" w14:textId="77777777" w:rsidR="004E5EAC" w:rsidRDefault="004E5EAC" w:rsidP="00A4259C">
      <w:pPr>
        <w:keepNext/>
        <w:spacing w:after="0"/>
      </w:pPr>
      <w:r>
        <w:t>SPATEM</w:t>
      </w:r>
      <w:r>
        <w:tab/>
      </w:r>
      <w:r>
        <w:tab/>
      </w:r>
      <w:r w:rsidRPr="00031D6D">
        <w:t xml:space="preserve">Signal Phase </w:t>
      </w:r>
      <w:r>
        <w:t>a</w:t>
      </w:r>
      <w:r w:rsidRPr="00031D6D">
        <w:t>nd Timing Extended Message</w:t>
      </w:r>
    </w:p>
    <w:p w14:paraId="027B0690" w14:textId="77777777" w:rsidR="004E5EAC" w:rsidRDefault="004E5EAC" w:rsidP="00A4259C">
      <w:pPr>
        <w:keepNext/>
        <w:spacing w:after="0"/>
      </w:pPr>
      <w:r>
        <w:t>SP</w:t>
      </w:r>
      <w:r>
        <w:tab/>
      </w:r>
      <w:r>
        <w:tab/>
      </w:r>
      <w:r>
        <w:tab/>
      </w:r>
      <w:r>
        <w:tab/>
        <w:t>System Profile</w:t>
      </w:r>
    </w:p>
    <w:p w14:paraId="45872564" w14:textId="5F42223E" w:rsidR="003C1F08" w:rsidRDefault="003C1F08" w:rsidP="00A4259C">
      <w:pPr>
        <w:keepNext/>
        <w:spacing w:after="0"/>
      </w:pPr>
      <w:r>
        <w:t>PHY</w:t>
      </w:r>
      <w:r>
        <w:tab/>
      </w:r>
      <w:r>
        <w:tab/>
      </w:r>
      <w:r>
        <w:tab/>
        <w:t>Physical Layer</w:t>
      </w:r>
    </w:p>
    <w:p w14:paraId="44B7799C" w14:textId="77777777" w:rsidR="004E5EAC" w:rsidRDefault="004E5EAC" w:rsidP="00A4259C">
      <w:pPr>
        <w:keepNext/>
        <w:spacing w:after="0"/>
      </w:pPr>
      <w:r>
        <w:t>TC</w:t>
      </w:r>
      <w:r>
        <w:tab/>
      </w:r>
      <w:r>
        <w:tab/>
      </w:r>
      <w:r>
        <w:tab/>
      </w:r>
      <w:r>
        <w:tab/>
        <w:t>Traffic Class</w:t>
      </w:r>
    </w:p>
    <w:p w14:paraId="4DC13176" w14:textId="77777777" w:rsidR="004E5EAC" w:rsidRDefault="004E5EAC" w:rsidP="00A4259C">
      <w:pPr>
        <w:keepNext/>
        <w:spacing w:after="0"/>
      </w:pPr>
      <w:r>
        <w:t>TR</w:t>
      </w:r>
      <w:r>
        <w:tab/>
      </w:r>
      <w:r>
        <w:tab/>
      </w:r>
      <w:r>
        <w:tab/>
      </w:r>
      <w:r>
        <w:tab/>
        <w:t>Technical Report</w:t>
      </w:r>
    </w:p>
    <w:p w14:paraId="079359E8" w14:textId="77777777" w:rsidR="004E5EAC" w:rsidRDefault="004E5EAC" w:rsidP="00A4259C">
      <w:pPr>
        <w:keepNext/>
        <w:spacing w:after="0"/>
      </w:pPr>
      <w:r>
        <w:t>TS</w:t>
      </w:r>
      <w:r>
        <w:tab/>
      </w:r>
      <w:r>
        <w:tab/>
      </w:r>
      <w:r>
        <w:tab/>
      </w:r>
      <w:r>
        <w:tab/>
        <w:t>Technical Specification</w:t>
      </w:r>
    </w:p>
    <w:p w14:paraId="102E7899" w14:textId="0FF652F2" w:rsidR="003C1F08" w:rsidRDefault="003C1F08" w:rsidP="00A4259C">
      <w:pPr>
        <w:keepNext/>
        <w:spacing w:after="0"/>
      </w:pPr>
      <w:r>
        <w:t>TWN</w:t>
      </w:r>
      <w:r>
        <w:tab/>
      </w:r>
      <w:r>
        <w:tab/>
      </w:r>
      <w:r>
        <w:tab/>
        <w:t>Trustworthiness</w:t>
      </w:r>
    </w:p>
    <w:p w14:paraId="3AECCB2F" w14:textId="55874C27" w:rsidR="004E5EAC" w:rsidRDefault="004E5EAC" w:rsidP="00A4259C">
      <w:pPr>
        <w:keepNext/>
        <w:spacing w:after="0"/>
      </w:pPr>
      <w:r>
        <w:t>VAM</w:t>
      </w:r>
      <w:r w:rsidR="00183025">
        <w:tab/>
      </w:r>
      <w:r w:rsidR="00183025">
        <w:tab/>
      </w:r>
      <w:r w:rsidR="00183025">
        <w:tab/>
      </w:r>
      <w:r>
        <w:t xml:space="preserve">Vulnerable </w:t>
      </w:r>
      <w:r w:rsidR="00183025">
        <w:t>r</w:t>
      </w:r>
      <w:r>
        <w:t>oad user Awareness Message</w:t>
      </w:r>
    </w:p>
    <w:p w14:paraId="0D5069E0" w14:textId="269B88F6" w:rsidR="00943DE0" w:rsidRDefault="00943DE0" w:rsidP="00A4259C">
      <w:pPr>
        <w:keepNext/>
        <w:spacing w:after="0"/>
      </w:pPr>
      <w:r>
        <w:t>VoI</w:t>
      </w:r>
      <w:r>
        <w:tab/>
      </w:r>
      <w:r>
        <w:tab/>
      </w:r>
      <w:r>
        <w:tab/>
        <w:t>Value of Information</w:t>
      </w:r>
    </w:p>
    <w:p w14:paraId="293BA2DE" w14:textId="77777777" w:rsidR="004E5EAC" w:rsidRDefault="004E5EAC" w:rsidP="00A4259C">
      <w:pPr>
        <w:keepNext/>
        <w:spacing w:after="0"/>
      </w:pPr>
      <w:r>
        <w:t>V2V</w:t>
      </w:r>
      <w:r>
        <w:tab/>
      </w:r>
      <w:r>
        <w:tab/>
      </w:r>
      <w:r>
        <w:tab/>
        <w:t>Vehicle to Vehicle</w:t>
      </w:r>
    </w:p>
    <w:p w14:paraId="6FE3DB7D" w14:textId="77777777" w:rsidR="004E5EAC" w:rsidRDefault="004E5EAC" w:rsidP="00A4259C">
      <w:pPr>
        <w:keepNext/>
        <w:spacing w:after="0"/>
      </w:pPr>
      <w:r>
        <w:t>V2I</w:t>
      </w:r>
      <w:r w:rsidRPr="001375F0">
        <w:t xml:space="preserve"> </w:t>
      </w:r>
      <w:r>
        <w:tab/>
      </w:r>
      <w:r>
        <w:tab/>
      </w:r>
      <w:r>
        <w:tab/>
        <w:t>Vehicle to Infrastructure</w:t>
      </w:r>
    </w:p>
    <w:p w14:paraId="13683722" w14:textId="77777777" w:rsidR="004E5EAC" w:rsidRDefault="004E5EAC" w:rsidP="00A4259C">
      <w:pPr>
        <w:keepNext/>
        <w:spacing w:after="0"/>
      </w:pPr>
      <w:r>
        <w:t>VRU</w:t>
      </w:r>
      <w:r>
        <w:tab/>
      </w:r>
      <w:r>
        <w:tab/>
      </w:r>
      <w:r>
        <w:tab/>
        <w:t>Vulnerable Road User</w:t>
      </w:r>
    </w:p>
    <w:p w14:paraId="2E6AFDED" w14:textId="543B74B6" w:rsidR="009A00D6" w:rsidRDefault="004E5EAC" w:rsidP="00A4259C">
      <w:pPr>
        <w:keepNext/>
        <w:spacing w:after="0"/>
      </w:pPr>
      <w:r>
        <w:t>X2N2X</w:t>
      </w:r>
      <w:r>
        <w:tab/>
      </w:r>
      <w:r>
        <w:tab/>
        <w:t>Anything to Network to Anything</w:t>
      </w:r>
    </w:p>
    <w:p w14:paraId="68E57586" w14:textId="216F01B4" w:rsidR="00365464" w:rsidRPr="00F54712" w:rsidRDefault="005C5573" w:rsidP="00F140CF">
      <w:pPr>
        <w:pStyle w:val="Heading1"/>
        <w:numPr>
          <w:ilvl w:val="0"/>
          <w:numId w:val="11"/>
        </w:numPr>
        <w:ind w:left="1134"/>
      </w:pPr>
      <w:bookmarkStart w:id="132" w:name="_Toc197336997"/>
      <w:r>
        <w:t>Considerations</w:t>
      </w:r>
      <w:bookmarkEnd w:id="132"/>
    </w:p>
    <w:p w14:paraId="13106100" w14:textId="1AE8C7FC" w:rsidR="005C5573" w:rsidRDefault="00D84975" w:rsidP="00F140CF">
      <w:pPr>
        <w:pStyle w:val="Heading2"/>
        <w:numPr>
          <w:ilvl w:val="1"/>
          <w:numId w:val="11"/>
        </w:numPr>
        <w:tabs>
          <w:tab w:val="left" w:pos="8505"/>
        </w:tabs>
        <w:ind w:left="1134"/>
      </w:pPr>
      <w:bookmarkStart w:id="133" w:name="_Ref179986874"/>
      <w:bookmarkStart w:id="134" w:name="_Toc197336998"/>
      <w:r>
        <w:t>Introduction</w:t>
      </w:r>
      <w:bookmarkEnd w:id="133"/>
      <w:bookmarkEnd w:id="134"/>
    </w:p>
    <w:p w14:paraId="123E6532" w14:textId="4A7351F1" w:rsidR="000179CA" w:rsidRDefault="007704CB" w:rsidP="00D83A47">
      <w:pPr>
        <w:tabs>
          <w:tab w:val="left" w:pos="8505"/>
        </w:tabs>
      </w:pPr>
      <w:r>
        <w:t xml:space="preserve">The ITS Release 1 basic </w:t>
      </w:r>
      <w:r w:rsidR="00F24819">
        <w:t xml:space="preserve">Cooperative </w:t>
      </w:r>
      <w:r>
        <w:t>use cases</w:t>
      </w:r>
      <w:r w:rsidR="00715238">
        <w:t>,</w:t>
      </w:r>
      <w:r>
        <w:t xml:space="preserve"> </w:t>
      </w:r>
      <w:r w:rsidR="00655EBA">
        <w:t>supported by</w:t>
      </w:r>
      <w:r w:rsidR="00F4633A">
        <w:t xml:space="preserve"> </w:t>
      </w:r>
      <w:r w:rsidR="00655EBA">
        <w:t xml:space="preserve">the </w:t>
      </w:r>
      <w:r w:rsidR="00715238">
        <w:t xml:space="preserve">standards listed in </w:t>
      </w:r>
      <w:r w:rsidR="00F4633A">
        <w:t xml:space="preserve">ETSI TR 101 607 </w:t>
      </w:r>
      <w:r w:rsidR="00F4633A">
        <w:fldChar w:fldCharType="begin"/>
      </w:r>
      <w:r w:rsidR="00F4633A">
        <w:instrText xml:space="preserve"> REF ETSI_TR101607 \h </w:instrText>
      </w:r>
      <w:r w:rsidR="00F4633A">
        <w:fldChar w:fldCharType="separate"/>
      </w:r>
      <w:r w:rsidR="002D4E09" w:rsidRPr="00913ABF">
        <w:t>[i.</w:t>
      </w:r>
      <w:r w:rsidR="002D4E09">
        <w:t>2</w:t>
      </w:r>
      <w:r w:rsidR="002D4E09" w:rsidRPr="00913ABF">
        <w:t>]</w:t>
      </w:r>
      <w:r w:rsidR="00F4633A">
        <w:fldChar w:fldCharType="end"/>
      </w:r>
      <w:r w:rsidR="006C4F4F">
        <w:t>,</w:t>
      </w:r>
      <w:r w:rsidR="00F4633A">
        <w:t xml:space="preserve"> </w:t>
      </w:r>
      <w:r>
        <w:t xml:space="preserve">are </w:t>
      </w:r>
      <w:r w:rsidR="00973E90">
        <w:t>awareness</w:t>
      </w:r>
      <w:r w:rsidR="0027177C">
        <w:t>-</w:t>
      </w:r>
      <w:r>
        <w:t>oriented</w:t>
      </w:r>
      <w:r w:rsidR="00F4633A">
        <w:t>.</w:t>
      </w:r>
      <w:r w:rsidR="00D83A47">
        <w:t xml:space="preserve"> </w:t>
      </w:r>
      <w:r w:rsidR="00F4633A">
        <w:t>W</w:t>
      </w:r>
      <w:r w:rsidR="00D83A47">
        <w:t>hen considered from a</w:t>
      </w:r>
      <w:r w:rsidR="000179CA">
        <w:t>n</w:t>
      </w:r>
      <w:r w:rsidR="00D83A47">
        <w:t xml:space="preserve"> Autom</w:t>
      </w:r>
      <w:r w:rsidR="00D75539">
        <w:t>otive</w:t>
      </w:r>
      <w:r w:rsidR="00D83A47">
        <w:t xml:space="preserve"> Safety </w:t>
      </w:r>
      <w:r w:rsidR="00426D4F">
        <w:t>Integrity</w:t>
      </w:r>
      <w:r w:rsidR="00D83A47">
        <w:t xml:space="preserve"> Level (ASIL) perspective</w:t>
      </w:r>
      <w:r w:rsidR="00F4633A">
        <w:t>,</w:t>
      </w:r>
      <w:r w:rsidR="00D83A47">
        <w:t xml:space="preserve"> according to ISO 26262-9 </w:t>
      </w:r>
      <w:r w:rsidR="00D83A47">
        <w:fldChar w:fldCharType="begin"/>
      </w:r>
      <w:r w:rsidR="00D83A47">
        <w:instrText xml:space="preserve"> REF ISO_26262_9 \h </w:instrText>
      </w:r>
      <w:r w:rsidR="00D83A47">
        <w:fldChar w:fldCharType="separate"/>
      </w:r>
      <w:r w:rsidR="002D4E09" w:rsidRPr="00913ABF">
        <w:t>[i.</w:t>
      </w:r>
      <w:r w:rsidR="002D4E09">
        <w:t>3</w:t>
      </w:r>
      <w:r w:rsidR="002D4E09" w:rsidRPr="00913ABF">
        <w:t>]</w:t>
      </w:r>
      <w:r w:rsidR="00D83A47">
        <w:fldChar w:fldCharType="end"/>
      </w:r>
      <w:r w:rsidR="00D83A47">
        <w:t xml:space="preserve">, ITS Release 1 supports </w:t>
      </w:r>
      <w:r w:rsidR="001F4CD9">
        <w:t xml:space="preserve">some use cases </w:t>
      </w:r>
      <w:r w:rsidR="00F85825">
        <w:t xml:space="preserve">of </w:t>
      </w:r>
      <w:r w:rsidR="00655EBA">
        <w:t>the Quality Management (QM)</w:t>
      </w:r>
      <w:r w:rsidR="00D83A47">
        <w:t xml:space="preserve"> </w:t>
      </w:r>
      <w:r w:rsidR="00D75539">
        <w:t>ASIL</w:t>
      </w:r>
      <w:r w:rsidR="00D83A47">
        <w:t xml:space="preserve">. </w:t>
      </w:r>
      <w:r w:rsidR="006C4F4F">
        <w:t xml:space="preserve">For </w:t>
      </w:r>
      <w:r w:rsidR="003C1F08">
        <w:t xml:space="preserve">this </w:t>
      </w:r>
      <w:r w:rsidR="007D4C08">
        <w:t>level</w:t>
      </w:r>
      <w:r w:rsidR="006C4F4F">
        <w:t>,</w:t>
      </w:r>
      <w:r w:rsidR="00D83A47">
        <w:t xml:space="preserve"> there are no liability or other </w:t>
      </w:r>
      <w:r w:rsidR="00D75539">
        <w:t xml:space="preserve">quality </w:t>
      </w:r>
      <w:r w:rsidR="00D83A47">
        <w:t>requirements</w:t>
      </w:r>
      <w:r w:rsidR="00F85825">
        <w:t xml:space="preserve"> defined</w:t>
      </w:r>
      <w:r w:rsidR="006C4F4F">
        <w:t>,</w:t>
      </w:r>
      <w:r w:rsidR="00D83A47">
        <w:t xml:space="preserve"> as identified in the ITS Framework Release 2 </w:t>
      </w:r>
      <w:r w:rsidR="004E6D55">
        <w:t xml:space="preserve">ETSI </w:t>
      </w:r>
      <w:r w:rsidR="00D83A47">
        <w:t xml:space="preserve">TR 103 903 </w:t>
      </w:r>
      <w:r w:rsidR="00D83A47">
        <w:fldChar w:fldCharType="begin"/>
      </w:r>
      <w:r w:rsidR="00D83A47">
        <w:instrText xml:space="preserve"> REF ETSI_TR103903 \h </w:instrText>
      </w:r>
      <w:r w:rsidR="00D83A47">
        <w:fldChar w:fldCharType="separate"/>
      </w:r>
      <w:r w:rsidR="002D4E09" w:rsidRPr="00913ABF">
        <w:t>[i.</w:t>
      </w:r>
      <w:r w:rsidR="002D4E09">
        <w:t>4</w:t>
      </w:r>
      <w:r w:rsidR="002D4E09" w:rsidRPr="00913ABF">
        <w:t>]</w:t>
      </w:r>
      <w:r w:rsidR="00D83A47">
        <w:fldChar w:fldCharType="end"/>
      </w:r>
      <w:r w:rsidR="00D83A47">
        <w:t xml:space="preserve">. </w:t>
      </w:r>
    </w:p>
    <w:p w14:paraId="4A885803" w14:textId="7EBD3B87" w:rsidR="0030053D" w:rsidRDefault="00D75539" w:rsidP="00F24819">
      <w:pPr>
        <w:tabs>
          <w:tab w:val="left" w:pos="8505"/>
        </w:tabs>
      </w:pPr>
      <w:r>
        <w:t>The</w:t>
      </w:r>
      <w:r w:rsidR="00D83A47">
        <w:t xml:space="preserve"> ITS Framework Release 2</w:t>
      </w:r>
      <w:r w:rsidR="00F24819">
        <w:t xml:space="preserve"> (addressing both Cooperative-ITS (C-ITS) and non</w:t>
      </w:r>
      <w:r w:rsidR="003C1F08">
        <w:t>-</w:t>
      </w:r>
      <w:r w:rsidR="00F24819">
        <w:t>C-ITS use cases</w:t>
      </w:r>
      <w:r w:rsidR="007D4C08">
        <w:t>)</w:t>
      </w:r>
      <w:r w:rsidR="006C4F4F">
        <w:t xml:space="preserve">, detailed in </w:t>
      </w:r>
      <w:r w:rsidR="004E6D55">
        <w:t xml:space="preserve">ETSI </w:t>
      </w:r>
      <w:r w:rsidR="00D83A47">
        <w:t xml:space="preserve">TR 103 903 </w:t>
      </w:r>
      <w:r w:rsidR="00D83A47">
        <w:fldChar w:fldCharType="begin"/>
      </w:r>
      <w:r w:rsidR="00D83A47">
        <w:instrText xml:space="preserve"> REF ETSI_TR103903 \h </w:instrText>
      </w:r>
      <w:r w:rsidR="00D83A47">
        <w:fldChar w:fldCharType="separate"/>
      </w:r>
      <w:r w:rsidR="002D4E09" w:rsidRPr="00913ABF">
        <w:t>[i.</w:t>
      </w:r>
      <w:r w:rsidR="002D4E09">
        <w:t>4</w:t>
      </w:r>
      <w:r w:rsidR="002D4E09" w:rsidRPr="00913ABF">
        <w:t>]</w:t>
      </w:r>
      <w:r w:rsidR="00D83A47">
        <w:fldChar w:fldCharType="end"/>
      </w:r>
      <w:r w:rsidR="00D83A47">
        <w:t xml:space="preserve">, </w:t>
      </w:r>
      <w:r>
        <w:t>identifies</w:t>
      </w:r>
      <w:r w:rsidR="0030053D">
        <w:t xml:space="preserve"> </w:t>
      </w:r>
      <w:r w:rsidR="00D83A47">
        <w:t xml:space="preserve">specific </w:t>
      </w:r>
      <w:r w:rsidR="000179CA">
        <w:t>R</w:t>
      </w:r>
      <w:r w:rsidR="00D83A47">
        <w:t xml:space="preserve">elease 2 </w:t>
      </w:r>
      <w:r w:rsidR="00F24819">
        <w:t xml:space="preserve">ITS services </w:t>
      </w:r>
      <w:r w:rsidR="0030053D">
        <w:t xml:space="preserve">that </w:t>
      </w:r>
      <w:r w:rsidR="007D4C08">
        <w:t xml:space="preserve">are expected </w:t>
      </w:r>
      <w:r w:rsidR="000179CA">
        <w:t xml:space="preserve">to </w:t>
      </w:r>
      <w:r w:rsidR="00D83A47">
        <w:t xml:space="preserve">support ASIL </w:t>
      </w:r>
      <w:r w:rsidR="00655EBA">
        <w:t>C</w:t>
      </w:r>
      <w:r w:rsidR="000179CA">
        <w:t xml:space="preserve"> </w:t>
      </w:r>
      <w:r w:rsidR="007D4C08">
        <w:t xml:space="preserve">and </w:t>
      </w:r>
      <w:r w:rsidR="001120C8">
        <w:t>potentially</w:t>
      </w:r>
      <w:r w:rsidR="00602FF2">
        <w:t xml:space="preserve"> </w:t>
      </w:r>
      <w:r w:rsidR="00655EBA">
        <w:t>ASIL D</w:t>
      </w:r>
      <w:r w:rsidR="006C4F4F">
        <w:t xml:space="preserve">. </w:t>
      </w:r>
    </w:p>
    <w:p w14:paraId="2C442C77" w14:textId="175BD9F6" w:rsidR="0068412E" w:rsidRDefault="00190069" w:rsidP="001933A3">
      <w:pPr>
        <w:tabs>
          <w:tab w:val="left" w:pos="8505"/>
        </w:tabs>
      </w:pPr>
      <w:r>
        <w:t xml:space="preserve">The support of higher ASIL levels </w:t>
      </w:r>
      <w:r w:rsidR="006C4F4F">
        <w:t>resul</w:t>
      </w:r>
      <w:r w:rsidR="003C1F08">
        <w:t>ts</w:t>
      </w:r>
      <w:r w:rsidR="006C4F4F">
        <w:t xml:space="preserve"> </w:t>
      </w:r>
      <w:r w:rsidR="00D75539">
        <w:t>in additional</w:t>
      </w:r>
      <w:r w:rsidR="000179CA">
        <w:t xml:space="preserve"> and more stringent</w:t>
      </w:r>
      <w:r w:rsidR="00D75539">
        <w:t xml:space="preserve"> data </w:t>
      </w:r>
      <w:r w:rsidR="000179CA">
        <w:t xml:space="preserve">quality </w:t>
      </w:r>
      <w:r w:rsidR="00D75539">
        <w:t>and system performance requirements</w:t>
      </w:r>
      <w:r w:rsidR="00160DFB">
        <w:t xml:space="preserve">, including </w:t>
      </w:r>
      <w:r w:rsidR="00160DFB" w:rsidRPr="0068412E">
        <w:t xml:space="preserve">additional </w:t>
      </w:r>
      <w:r w:rsidR="003C1F08">
        <w:t>QoS and Trustworthiness (TWN)</w:t>
      </w:r>
      <w:r w:rsidR="00160DFB">
        <w:t xml:space="preserve"> requirements. Most </w:t>
      </w:r>
      <w:r w:rsidR="003C1F08">
        <w:t xml:space="preserve">TWN </w:t>
      </w:r>
      <w:r w:rsidR="00160DFB">
        <w:t>requirements are out of scope of this study</w:t>
      </w:r>
      <w:r w:rsidR="003C1F08">
        <w:t xml:space="preserve"> </w:t>
      </w:r>
      <w:r w:rsidR="007B030E">
        <w:t>except</w:t>
      </w:r>
      <w:r w:rsidR="003C1F08">
        <w:t xml:space="preserve"> for those related to the improvement of the channel use</w:t>
      </w:r>
      <w:r w:rsidR="00160DFB">
        <w:t xml:space="preserve">. </w:t>
      </w:r>
    </w:p>
    <w:p w14:paraId="46947BAF" w14:textId="6442C840" w:rsidR="000179CA" w:rsidRDefault="00160DFB" w:rsidP="001933A3">
      <w:pPr>
        <w:tabs>
          <w:tab w:val="left" w:pos="8505"/>
        </w:tabs>
      </w:pPr>
      <w:r>
        <w:t xml:space="preserve">This report </w:t>
      </w:r>
      <w:r w:rsidR="007B030E">
        <w:t>focusses</w:t>
      </w:r>
      <w:r>
        <w:t xml:space="preserve"> on </w:t>
      </w:r>
      <w:r w:rsidR="00693A81">
        <w:t>two</w:t>
      </w:r>
      <w:r>
        <w:t xml:space="preserve"> QoS</w:t>
      </w:r>
      <w:r w:rsidR="003C1F08">
        <w:t xml:space="preserve">/TWN related </w:t>
      </w:r>
      <w:r w:rsidR="00693A81">
        <w:t xml:space="preserve">system </w:t>
      </w:r>
      <w:r w:rsidR="001950EB">
        <w:t>improvement aspects</w:t>
      </w:r>
      <w:r>
        <w:t>.</w:t>
      </w:r>
    </w:p>
    <w:p w14:paraId="7BC6372E" w14:textId="762234B0" w:rsidR="0052018F" w:rsidRDefault="00CD6E1B" w:rsidP="00F140CF">
      <w:pPr>
        <w:pStyle w:val="ListParagraph"/>
        <w:numPr>
          <w:ilvl w:val="0"/>
          <w:numId w:val="14"/>
        </w:numPr>
        <w:tabs>
          <w:tab w:val="left" w:pos="8505"/>
        </w:tabs>
      </w:pPr>
      <w:r>
        <w:t xml:space="preserve">How </w:t>
      </w:r>
      <w:r w:rsidR="00693A81">
        <w:t>could the</w:t>
      </w:r>
      <w:r w:rsidR="0052018F">
        <w:t xml:space="preserve"> ITS</w:t>
      </w:r>
      <w:r w:rsidR="00136F25">
        <w:t xml:space="preserve"> </w:t>
      </w:r>
      <w:r w:rsidR="0052018F">
        <w:t>Service</w:t>
      </w:r>
      <w:r>
        <w:t xml:space="preserve"> information dissemination </w:t>
      </w:r>
      <w:r w:rsidR="00693A81">
        <w:t>statistically better be scheduled</w:t>
      </w:r>
      <w:r w:rsidR="0052018F">
        <w:t>, and</w:t>
      </w:r>
    </w:p>
    <w:p w14:paraId="4BEBC3E5" w14:textId="51BF0512" w:rsidR="0052018F" w:rsidRDefault="00693A81" w:rsidP="00F140CF">
      <w:pPr>
        <w:pStyle w:val="ListParagraph"/>
        <w:numPr>
          <w:ilvl w:val="0"/>
          <w:numId w:val="14"/>
        </w:numPr>
        <w:tabs>
          <w:tab w:val="left" w:pos="8505"/>
        </w:tabs>
      </w:pPr>
      <w:r>
        <w:t>At the ITS Station (ITS-S) system level, h</w:t>
      </w:r>
      <w:r w:rsidR="0052018F">
        <w:t xml:space="preserve">ow </w:t>
      </w:r>
      <w:r>
        <w:t>could dynamically the information dissemination better be managed</w:t>
      </w:r>
      <w:r w:rsidR="00136F25">
        <w:t>.</w:t>
      </w:r>
      <w:r w:rsidR="0052018F">
        <w:t xml:space="preserve"> </w:t>
      </w:r>
    </w:p>
    <w:p w14:paraId="31EF12BF" w14:textId="2832519E" w:rsidR="00136F25" w:rsidRDefault="00136F25" w:rsidP="00136F25">
      <w:pPr>
        <w:tabs>
          <w:tab w:val="left" w:pos="8505"/>
        </w:tabs>
      </w:pPr>
      <w:r w:rsidRPr="003B09A1">
        <w:t>Both aspects are system aspect</w:t>
      </w:r>
      <w:r w:rsidR="001F4CD9">
        <w:t>s</w:t>
      </w:r>
      <w:r w:rsidRPr="003B09A1">
        <w:t xml:space="preserve"> </w:t>
      </w:r>
      <w:r w:rsidR="00CD6E1B" w:rsidRPr="003B09A1">
        <w:t xml:space="preserve">from which the first should be </w:t>
      </w:r>
      <w:r w:rsidRPr="003B09A1">
        <w:t xml:space="preserve">specified in System Profiles (SPs). </w:t>
      </w:r>
      <w:r w:rsidR="001E76B9">
        <w:t>For</w:t>
      </w:r>
      <w:r w:rsidRPr="003B09A1">
        <w:t xml:space="preserve"> Release 1 the C2C-CC Profiles </w:t>
      </w:r>
      <w:r w:rsidR="003B09A1" w:rsidRPr="003B09A1">
        <w:fldChar w:fldCharType="begin"/>
      </w:r>
      <w:r w:rsidR="003B09A1" w:rsidRPr="003B09A1">
        <w:instrText xml:space="preserve"> REF C2C_CC_Profile \h </w:instrText>
      </w:r>
      <w:r w:rsidR="003B09A1">
        <w:instrText xml:space="preserve"> \* MERGEFORMAT </w:instrText>
      </w:r>
      <w:r w:rsidR="003B09A1" w:rsidRPr="003B09A1">
        <w:fldChar w:fldCharType="separate"/>
      </w:r>
      <w:r w:rsidR="003B09A1" w:rsidRPr="003B09A1">
        <w:t>[i.7]</w:t>
      </w:r>
      <w:r w:rsidR="003B09A1" w:rsidRPr="003B09A1">
        <w:fldChar w:fldCharType="end"/>
      </w:r>
      <w:r w:rsidR="003B09A1" w:rsidRPr="003B09A1">
        <w:t xml:space="preserve"> </w:t>
      </w:r>
      <w:r w:rsidRPr="003B09A1">
        <w:t>and the C-Roads Profiles</w:t>
      </w:r>
      <w:r w:rsidR="003B09A1" w:rsidRPr="003B09A1">
        <w:t xml:space="preserve"> </w:t>
      </w:r>
      <w:r w:rsidR="003B09A1" w:rsidRPr="003B09A1">
        <w:fldChar w:fldCharType="begin"/>
      </w:r>
      <w:r w:rsidR="003B09A1" w:rsidRPr="003B09A1">
        <w:instrText xml:space="preserve"> REF C_Roads_Profile \h </w:instrText>
      </w:r>
      <w:r w:rsidR="003B09A1">
        <w:instrText xml:space="preserve"> \* MERGEFORMAT </w:instrText>
      </w:r>
      <w:r w:rsidR="003B09A1" w:rsidRPr="003B09A1">
        <w:fldChar w:fldCharType="separate"/>
      </w:r>
      <w:r w:rsidR="003B09A1" w:rsidRPr="003B09A1">
        <w:t>[i.8]</w:t>
      </w:r>
      <w:r w:rsidR="003B09A1" w:rsidRPr="003B09A1">
        <w:fldChar w:fldCharType="end"/>
      </w:r>
      <w:r w:rsidRPr="003B09A1">
        <w:t xml:space="preserve"> </w:t>
      </w:r>
      <w:r w:rsidR="00477F00" w:rsidRPr="003B09A1">
        <w:t>have specified this to enable a predictable static message exchange behaviour</w:t>
      </w:r>
      <w:r w:rsidRPr="003B09A1">
        <w:t xml:space="preserve">. </w:t>
      </w:r>
      <w:r w:rsidR="00F07868">
        <w:t>Both profiles refer to t</w:t>
      </w:r>
      <w:r w:rsidRPr="003B09A1">
        <w:t>he ETSI standards list</w:t>
      </w:r>
      <w:r>
        <w:t xml:space="preserve">ed in the ETSI TR 101 607 </w:t>
      </w:r>
      <w:r w:rsidR="00477F00">
        <w:fldChar w:fldCharType="begin"/>
      </w:r>
      <w:r w:rsidR="00477F00">
        <w:instrText xml:space="preserve"> REF ETSI_TR101607 \h </w:instrText>
      </w:r>
      <w:r w:rsidR="00477F00">
        <w:fldChar w:fldCharType="separate"/>
      </w:r>
      <w:r w:rsidR="00477F00" w:rsidRPr="00913ABF">
        <w:t>[i.</w:t>
      </w:r>
      <w:r w:rsidR="00477F00">
        <w:t>2</w:t>
      </w:r>
      <w:r w:rsidR="00477F00" w:rsidRPr="00913ABF">
        <w:t>]</w:t>
      </w:r>
      <w:r w:rsidR="00477F00">
        <w:fldChar w:fldCharType="end"/>
      </w:r>
      <w:r w:rsidR="00F07868">
        <w:t xml:space="preserve"> for Release 1</w:t>
      </w:r>
      <w:r>
        <w:t>.</w:t>
      </w:r>
    </w:p>
    <w:p w14:paraId="340F6BDB" w14:textId="5629B2AD" w:rsidR="000179CA" w:rsidRDefault="007B030E" w:rsidP="0090373F">
      <w:pPr>
        <w:tabs>
          <w:tab w:val="left" w:pos="8505"/>
        </w:tabs>
      </w:pPr>
      <w:r>
        <w:t>With regards to the second a</w:t>
      </w:r>
      <w:r w:rsidR="0090373F" w:rsidRPr="00413C92">
        <w:t>spect</w:t>
      </w:r>
      <w:r>
        <w:t>, aspects</w:t>
      </w:r>
      <w:r w:rsidR="0090373F" w:rsidRPr="00413C92">
        <w:t xml:space="preserve"> related to t</w:t>
      </w:r>
      <w:r w:rsidR="00136F25" w:rsidRPr="00413C92">
        <w:t xml:space="preserve">he influence of ITS Services </w:t>
      </w:r>
      <w:r w:rsidR="0090373F" w:rsidRPr="00413C92">
        <w:t xml:space="preserve">information exchange are identified in </w:t>
      </w:r>
      <w:r w:rsidR="004A3FC7">
        <w:t>clause</w:t>
      </w:r>
      <w:r w:rsidR="0090373F" w:rsidRPr="00413C92">
        <w:t xml:space="preserve"> </w:t>
      </w:r>
      <w:r w:rsidR="0090373F" w:rsidRPr="00413C92">
        <w:fldChar w:fldCharType="begin"/>
      </w:r>
      <w:r w:rsidR="0090373F" w:rsidRPr="00413C92">
        <w:instrText xml:space="preserve"> REF _Ref182206913 \r \h </w:instrText>
      </w:r>
      <w:r w:rsidR="001F4CD9" w:rsidRPr="00A4259C">
        <w:instrText xml:space="preserve"> \* MERGEFORMAT </w:instrText>
      </w:r>
      <w:r w:rsidR="0090373F" w:rsidRPr="00413C92">
        <w:fldChar w:fldCharType="separate"/>
      </w:r>
      <w:r>
        <w:t>5.2</w:t>
      </w:r>
      <w:r w:rsidR="0090373F" w:rsidRPr="00413C92">
        <w:fldChar w:fldCharType="end"/>
      </w:r>
      <w:r w:rsidR="0090373F" w:rsidRPr="00413C92">
        <w:t>.</w:t>
      </w:r>
      <w:r w:rsidR="001F4CD9" w:rsidRPr="00413C92">
        <w:t xml:space="preserve"> </w:t>
      </w:r>
      <w:r>
        <w:t>A</w:t>
      </w:r>
      <w:r w:rsidR="0090373F" w:rsidRPr="00413C92">
        <w:t xml:space="preserve">spects related </w:t>
      </w:r>
      <w:r w:rsidR="00477F00" w:rsidRPr="00413C92">
        <w:t xml:space="preserve">to </w:t>
      </w:r>
      <w:r w:rsidRPr="00413C92">
        <w:t xml:space="preserve">the information dissemination </w:t>
      </w:r>
      <w:r>
        <w:t>QoS and TWN are</w:t>
      </w:r>
      <w:r w:rsidRPr="00413C92">
        <w:t xml:space="preserve"> </w:t>
      </w:r>
      <w:r>
        <w:t xml:space="preserve">clarified in </w:t>
      </w:r>
      <w:r>
        <w:fldChar w:fldCharType="begin"/>
      </w:r>
      <w:r>
        <w:instrText xml:space="preserve"> REF _Ref194842326 \r \h </w:instrText>
      </w:r>
      <w:r>
        <w:fldChar w:fldCharType="separate"/>
      </w:r>
      <w:r>
        <w:t>5.3</w:t>
      </w:r>
      <w:r>
        <w:fldChar w:fldCharType="end"/>
      </w:r>
      <w:r>
        <w:t>.</w:t>
      </w:r>
      <w:r w:rsidR="00413C92">
        <w:t xml:space="preserve"> Finally,</w:t>
      </w:r>
      <w:r w:rsidR="00E30081" w:rsidRPr="00413C92">
        <w:t xml:space="preserve"> </w:t>
      </w:r>
      <w:r w:rsidR="00413C92" w:rsidRPr="00413C92">
        <w:t xml:space="preserve">in </w:t>
      </w:r>
      <w:r w:rsidR="004A3FC7">
        <w:t>clause</w:t>
      </w:r>
      <w:r w:rsidR="00413C92" w:rsidRPr="00A4259C">
        <w:t xml:space="preserve"> </w:t>
      </w:r>
      <w:r w:rsidR="00413C92" w:rsidRPr="00A4259C">
        <w:fldChar w:fldCharType="begin"/>
      </w:r>
      <w:r w:rsidR="00413C92" w:rsidRPr="00A4259C">
        <w:instrText xml:space="preserve"> REF _Ref189651795 \r \h </w:instrText>
      </w:r>
      <w:r w:rsidR="00413C92">
        <w:instrText xml:space="preserve"> \* MERGEFORMAT </w:instrText>
      </w:r>
      <w:r w:rsidR="00413C92" w:rsidRPr="00A4259C">
        <w:fldChar w:fldCharType="separate"/>
      </w:r>
      <w:r>
        <w:t>5.4</w:t>
      </w:r>
      <w:r w:rsidR="00413C92" w:rsidRPr="00A4259C">
        <w:fldChar w:fldCharType="end"/>
      </w:r>
      <w:r w:rsidR="00E2711E" w:rsidRPr="00413C92">
        <w:t xml:space="preserve">, </w:t>
      </w:r>
      <w:r>
        <w:t>the system context is illustrated</w:t>
      </w:r>
      <w:r w:rsidR="00E2711E" w:rsidRPr="00413C92">
        <w:t>.</w:t>
      </w:r>
    </w:p>
    <w:p w14:paraId="62DCAAB4" w14:textId="3DA4EBCF" w:rsidR="0052018F" w:rsidRPr="005C5573" w:rsidRDefault="0052018F" w:rsidP="00F140CF">
      <w:pPr>
        <w:pStyle w:val="Heading2"/>
        <w:numPr>
          <w:ilvl w:val="1"/>
          <w:numId w:val="11"/>
        </w:numPr>
        <w:ind w:left="1134"/>
      </w:pPr>
      <w:bookmarkStart w:id="135" w:name="_Ref182206913"/>
      <w:bookmarkStart w:id="136" w:name="_Toc197336999"/>
      <w:r>
        <w:t>M</w:t>
      </w:r>
      <w:r w:rsidR="00442673">
        <w:t>e</w:t>
      </w:r>
      <w:r>
        <w:t>ssage Handling</w:t>
      </w:r>
      <w:bookmarkEnd w:id="135"/>
      <w:bookmarkEnd w:id="136"/>
      <w:r>
        <w:t xml:space="preserve"> </w:t>
      </w:r>
    </w:p>
    <w:p w14:paraId="2AF955E7" w14:textId="652164AA" w:rsidR="00477F00" w:rsidRDefault="00477F00" w:rsidP="0090373F">
      <w:pPr>
        <w:tabs>
          <w:tab w:val="left" w:pos="8505"/>
        </w:tabs>
      </w:pPr>
      <w:r>
        <w:t xml:space="preserve">Message handling is the static setting of </w:t>
      </w:r>
      <w:r w:rsidR="00521ADA">
        <w:t xml:space="preserve">C-ITS </w:t>
      </w:r>
      <w:r>
        <w:t>information</w:t>
      </w:r>
      <w:r w:rsidR="00521ADA">
        <w:t xml:space="preserve"> </w:t>
      </w:r>
      <w:r>
        <w:t>exchange</w:t>
      </w:r>
      <w:r w:rsidR="00521ADA">
        <w:t xml:space="preserve"> in </w:t>
      </w:r>
      <w:r w:rsidR="00245EEC">
        <w:t>a specific</w:t>
      </w:r>
      <w:r>
        <w:t xml:space="preserve"> </w:t>
      </w:r>
      <w:r w:rsidR="00245EEC">
        <w:t xml:space="preserve">environmental </w:t>
      </w:r>
      <w:r>
        <w:t xml:space="preserve">context. </w:t>
      </w:r>
      <w:r w:rsidR="00245EEC">
        <w:t xml:space="preserve">As stated in </w:t>
      </w:r>
      <w:r w:rsidR="004A3FC7">
        <w:t>clause</w:t>
      </w:r>
      <w:r w:rsidR="00245EEC">
        <w:t xml:space="preserve"> </w:t>
      </w:r>
      <w:r w:rsidR="00245EEC">
        <w:fldChar w:fldCharType="begin"/>
      </w:r>
      <w:r w:rsidR="00245EEC">
        <w:instrText xml:space="preserve"> REF _Ref179986874 \r \h </w:instrText>
      </w:r>
      <w:r w:rsidR="00245EEC">
        <w:fldChar w:fldCharType="separate"/>
      </w:r>
      <w:r w:rsidR="00245EEC">
        <w:t>4.1</w:t>
      </w:r>
      <w:r w:rsidR="00245EEC">
        <w:fldChar w:fldCharType="end"/>
      </w:r>
      <w:r w:rsidR="00245EEC">
        <w:t xml:space="preserve">, </w:t>
      </w:r>
      <w:r w:rsidR="0090373F">
        <w:t xml:space="preserve">C2C-CC and C-Roads limit the Release 1 information dissemination </w:t>
      </w:r>
      <w:r w:rsidR="00521ADA">
        <w:t>to</w:t>
      </w:r>
      <w:r w:rsidR="0090373F">
        <w:t xml:space="preserve"> </w:t>
      </w:r>
      <w:r w:rsidR="00521ADA">
        <w:t xml:space="preserve">V2V, I2V </w:t>
      </w:r>
      <w:r w:rsidR="0090373F">
        <w:t>message</w:t>
      </w:r>
      <w:r w:rsidR="00521ADA">
        <w:t xml:space="preserve"> exchange </w:t>
      </w:r>
      <w:r w:rsidR="0090373F">
        <w:t xml:space="preserve">in a single </w:t>
      </w:r>
      <w:r w:rsidR="009924FC">
        <w:t xml:space="preserve">direct communication </w:t>
      </w:r>
      <w:r w:rsidR="001F3D03">
        <w:t xml:space="preserve">specific </w:t>
      </w:r>
      <w:r w:rsidR="0090373F">
        <w:t>10 MHz channel</w:t>
      </w:r>
      <w:r w:rsidR="00E963FB">
        <w:t xml:space="preserve">. </w:t>
      </w:r>
      <w:r w:rsidR="00245EEC">
        <w:t xml:space="preserve">C-Roads </w:t>
      </w:r>
      <w:r w:rsidR="009924FC">
        <w:t xml:space="preserve">identifies </w:t>
      </w:r>
      <w:r w:rsidR="00245EEC">
        <w:t>other I2</w:t>
      </w:r>
      <w:r w:rsidR="00521ADA">
        <w:t>X</w:t>
      </w:r>
      <w:r w:rsidR="00245EEC">
        <w:t>/</w:t>
      </w:r>
      <w:r w:rsidR="00521ADA">
        <w:t>X</w:t>
      </w:r>
      <w:r w:rsidR="00245EEC">
        <w:t xml:space="preserve">2I </w:t>
      </w:r>
      <w:r w:rsidR="009924FC">
        <w:t>direct communication</w:t>
      </w:r>
      <w:r w:rsidR="00521ADA">
        <w:t xml:space="preserve"> </w:t>
      </w:r>
      <w:r w:rsidR="009924FC">
        <w:t>into</w:t>
      </w:r>
      <w:r w:rsidR="00521ADA">
        <w:t xml:space="preserve"> </w:t>
      </w:r>
      <w:r w:rsidR="00245EEC">
        <w:t>other channels</w:t>
      </w:r>
      <w:r w:rsidR="00521ADA">
        <w:t xml:space="preserve"> for early C-Roads Release 2</w:t>
      </w:r>
      <w:r w:rsidR="009924FC">
        <w:t xml:space="preserve"> within the same C-ITS Ecosystem QoS and TWN.</w:t>
      </w:r>
    </w:p>
    <w:p w14:paraId="2ECD63AA" w14:textId="78D78DB7" w:rsidR="00CD6E1B" w:rsidRDefault="004D3A3D" w:rsidP="0090373F">
      <w:pPr>
        <w:tabs>
          <w:tab w:val="left" w:pos="8505"/>
        </w:tabs>
      </w:pPr>
      <w:r>
        <w:t>In this context the</w:t>
      </w:r>
      <w:r w:rsidR="0090373F">
        <w:t xml:space="preserve"> C-</w:t>
      </w:r>
      <w:r w:rsidR="0090373F" w:rsidRPr="003B09A1">
        <w:t xml:space="preserve">Roads hybrid profile </w:t>
      </w:r>
      <w:r w:rsidR="003B09A1" w:rsidRPr="003B09A1">
        <w:fldChar w:fldCharType="begin"/>
      </w:r>
      <w:r w:rsidR="003B09A1" w:rsidRPr="003B09A1">
        <w:instrText xml:space="preserve"> REF C_Roads_Profile \h </w:instrText>
      </w:r>
      <w:r w:rsidR="003B09A1">
        <w:instrText xml:space="preserve"> \* MERGEFORMAT </w:instrText>
      </w:r>
      <w:r w:rsidR="003B09A1" w:rsidRPr="003B09A1">
        <w:fldChar w:fldCharType="separate"/>
      </w:r>
      <w:r w:rsidR="003B09A1" w:rsidRPr="003B09A1">
        <w:t>[i.8]</w:t>
      </w:r>
      <w:r w:rsidR="003B09A1" w:rsidRPr="003B09A1">
        <w:fldChar w:fldCharType="end"/>
      </w:r>
      <w:r w:rsidR="003B09A1" w:rsidRPr="003B09A1">
        <w:t xml:space="preserve"> </w:t>
      </w:r>
      <w:r w:rsidR="009924FC">
        <w:t xml:space="preserve">(Internet based) </w:t>
      </w:r>
      <w:r w:rsidR="00766450">
        <w:t xml:space="preserve">is </w:t>
      </w:r>
      <w:r w:rsidR="00CD6E1B" w:rsidRPr="003B09A1">
        <w:t xml:space="preserve">not considered </w:t>
      </w:r>
      <w:r w:rsidR="009924FC">
        <w:t xml:space="preserve">at present for this study </w:t>
      </w:r>
      <w:r w:rsidR="0090373F" w:rsidRPr="003B09A1">
        <w:t xml:space="preserve">as it does not provide dissemination </w:t>
      </w:r>
      <w:r w:rsidR="0004724F">
        <w:t>QoS</w:t>
      </w:r>
      <w:r w:rsidR="007B030E">
        <w:t xml:space="preserve"> and TWN  </w:t>
      </w:r>
      <w:r>
        <w:t xml:space="preserve">mechanisms </w:t>
      </w:r>
      <w:r w:rsidR="0090373F">
        <w:t xml:space="preserve">for higher levels of </w:t>
      </w:r>
      <w:r w:rsidR="00A26E9A">
        <w:t>s</w:t>
      </w:r>
      <w:r w:rsidR="0090373F">
        <w:t xml:space="preserve">afety and </w:t>
      </w:r>
      <w:r w:rsidR="00A26E9A">
        <w:t>a</w:t>
      </w:r>
      <w:r w:rsidR="0090373F">
        <w:t xml:space="preserve">utomation as </w:t>
      </w:r>
      <w:r w:rsidR="00766450">
        <w:t>expected</w:t>
      </w:r>
      <w:r w:rsidR="00A26E9A">
        <w:t xml:space="preserve"> </w:t>
      </w:r>
      <w:r w:rsidR="0090373F">
        <w:t>for Release 2</w:t>
      </w:r>
      <w:r w:rsidR="00CD6E1B">
        <w:t xml:space="preserve">. </w:t>
      </w:r>
    </w:p>
    <w:p w14:paraId="09AD38B8" w14:textId="77777777" w:rsidR="003545C8" w:rsidRDefault="009924FC" w:rsidP="0090373F">
      <w:pPr>
        <w:tabs>
          <w:tab w:val="left" w:pos="8505"/>
        </w:tabs>
      </w:pPr>
      <w:r>
        <w:t xml:space="preserve">At present according to current </w:t>
      </w:r>
      <w:r w:rsidR="003545C8">
        <w:t xml:space="preserve">Functional Safety Assessments (FUSAs), </w:t>
      </w:r>
      <w:r>
        <w:t xml:space="preserve">Internet </w:t>
      </w:r>
      <w:r w:rsidR="003545C8">
        <w:t xml:space="preserve">information exchange does not provide sufficient </w:t>
      </w:r>
      <w:r>
        <w:t>QoS</w:t>
      </w:r>
      <w:r w:rsidR="003545C8">
        <w:t xml:space="preserve"> such that it can be used for safety relevant information exchange to satisfy higher ASIL levels. As such related information exchange is not considered in this study.</w:t>
      </w:r>
    </w:p>
    <w:p w14:paraId="63EA62E7" w14:textId="023A446C" w:rsidR="009924FC" w:rsidRDefault="003545C8" w:rsidP="0090373F">
      <w:pPr>
        <w:tabs>
          <w:tab w:val="left" w:pos="8505"/>
        </w:tabs>
      </w:pPr>
      <w:r>
        <w:t>At the system level TWN and QoS are realized by means of stakeholder agreements and technical profiles such as the one from C2C-CC and C-Roads. As such they can’t be considered in this study</w:t>
      </w:r>
    </w:p>
    <w:p w14:paraId="7A000031" w14:textId="61C5B86F" w:rsidR="005C5573" w:rsidRPr="005C5573" w:rsidRDefault="00693A81" w:rsidP="00F140CF">
      <w:pPr>
        <w:pStyle w:val="Heading2"/>
        <w:numPr>
          <w:ilvl w:val="1"/>
          <w:numId w:val="11"/>
        </w:numPr>
        <w:ind w:left="1134"/>
      </w:pPr>
      <w:bookmarkStart w:id="137" w:name="_Ref194842326"/>
      <w:bookmarkStart w:id="138" w:name="_Toc197337000"/>
      <w:r>
        <w:t>Quality of Service</w:t>
      </w:r>
      <w:r w:rsidR="001950EB">
        <w:t xml:space="preserve"> improvement</w:t>
      </w:r>
      <w:bookmarkEnd w:id="137"/>
      <w:bookmarkEnd w:id="138"/>
    </w:p>
    <w:p w14:paraId="7EB26AEA" w14:textId="214800B1" w:rsidR="00417016" w:rsidRDefault="00626C65" w:rsidP="00CF70BC">
      <w:r>
        <w:t xml:space="preserve">In </w:t>
      </w:r>
      <w:r w:rsidR="0056457B">
        <w:t>I</w:t>
      </w:r>
      <w:r>
        <w:t xml:space="preserve">nformation and </w:t>
      </w:r>
      <w:r w:rsidR="0056457B">
        <w:t>C</w:t>
      </w:r>
      <w:r>
        <w:t>ommunication</w:t>
      </w:r>
      <w:r w:rsidR="0056457B">
        <w:t xml:space="preserve"> Technology</w:t>
      </w:r>
      <w:r>
        <w:t xml:space="preserve"> (ICT) </w:t>
      </w:r>
      <w:r w:rsidR="00693A81">
        <w:t xml:space="preserve">the </w:t>
      </w:r>
      <w:r w:rsidR="003B4DF5">
        <w:t>QoS</w:t>
      </w:r>
      <w:r w:rsidR="00693A81">
        <w:t xml:space="preserve"> </w:t>
      </w:r>
      <w:r w:rsidR="0056457B" w:rsidRPr="00915C63">
        <w:t xml:space="preserve">can’t be </w:t>
      </w:r>
      <w:r w:rsidR="001B2FD1">
        <w:t xml:space="preserve">fully </w:t>
      </w:r>
      <w:r w:rsidR="0056457B" w:rsidRPr="00915C63">
        <w:t>guaranteed</w:t>
      </w:r>
      <w:r w:rsidRPr="00915C63">
        <w:t>.</w:t>
      </w:r>
      <w:r w:rsidR="0056457B" w:rsidRPr="00915C63">
        <w:t xml:space="preserve"> </w:t>
      </w:r>
      <w:r w:rsidR="001950EB">
        <w:t>The main</w:t>
      </w:r>
      <w:r w:rsidR="00417016">
        <w:t xml:space="preserve"> </w:t>
      </w:r>
      <w:r w:rsidR="00FB339B">
        <w:t xml:space="preserve">three </w:t>
      </w:r>
      <w:r w:rsidR="00417016">
        <w:t xml:space="preserve">main areas </w:t>
      </w:r>
      <w:r w:rsidR="001950EB">
        <w:t>in which</w:t>
      </w:r>
      <w:r w:rsidR="00417016">
        <w:t xml:space="preserve"> QoS </w:t>
      </w:r>
      <w:r w:rsidR="001950EB">
        <w:t>where</w:t>
      </w:r>
      <w:r w:rsidR="00417016">
        <w:t xml:space="preserve"> mechanisms have been realized</w:t>
      </w:r>
      <w:r w:rsidR="001950EB">
        <w:t xml:space="preserve"> are:</w:t>
      </w:r>
    </w:p>
    <w:p w14:paraId="2E4DB3F6" w14:textId="62E1368E" w:rsidR="005A1D66" w:rsidRDefault="003B4DF5" w:rsidP="00F140CF">
      <w:pPr>
        <w:pStyle w:val="ListParagraph"/>
        <w:numPr>
          <w:ilvl w:val="0"/>
          <w:numId w:val="25"/>
        </w:numPr>
      </w:pPr>
      <w:r>
        <w:t>From a functional perspective internet communication capabilities are business driven statistically estimated and adjusted</w:t>
      </w:r>
      <w:r w:rsidR="005A1D66">
        <w:t xml:space="preserve"> ensuring a general level of QoS</w:t>
      </w:r>
      <w:r>
        <w:t xml:space="preserve">. </w:t>
      </w:r>
      <w:r w:rsidR="005A1D66">
        <w:t>In the first place this is statically done by operating more or less equipment.</w:t>
      </w:r>
      <w:r>
        <w:t xml:space="preserve"> </w:t>
      </w:r>
      <w:r w:rsidR="005A1D66">
        <w:t>Something which has extended based on large event behaviour statistics</w:t>
      </w:r>
      <w:r>
        <w:t xml:space="preserve">. </w:t>
      </w:r>
      <w:r w:rsidR="005A1D66">
        <w:t>For instance</w:t>
      </w:r>
      <w:r w:rsidR="00FB339B">
        <w:t>,</w:t>
      </w:r>
      <w:r w:rsidR="005A1D66">
        <w:t xml:space="preserve"> when there is a large sports event, additional equipment is temporarily installed. This can be seen as scenario management. </w:t>
      </w:r>
    </w:p>
    <w:p w14:paraId="28B2BF0A" w14:textId="1A6505EF" w:rsidR="00FB339B" w:rsidRDefault="00FB339B" w:rsidP="00F140CF">
      <w:pPr>
        <w:pStyle w:val="ListParagraph"/>
        <w:numPr>
          <w:ilvl w:val="0"/>
          <w:numId w:val="25"/>
        </w:numPr>
      </w:pPr>
      <w:r>
        <w:t xml:space="preserve">Internet protocol communication in general is handshaking based which allows the disseminating station to verify whether information is received. Direct communications </w:t>
      </w:r>
      <w:r w:rsidR="00183025">
        <w:t>are</w:t>
      </w:r>
      <w:r>
        <w:t xml:space="preserve"> sensor networked (broadcast/unicast) based in which this verification can’t take place. QoS is reached </w:t>
      </w:r>
      <w:r w:rsidR="00491B5A">
        <w:t>by system agreements and resource assessment.</w:t>
      </w:r>
    </w:p>
    <w:p w14:paraId="7443876C" w14:textId="0CB4C9EB" w:rsidR="00417016" w:rsidRDefault="005A1D66" w:rsidP="00F140CF">
      <w:pPr>
        <w:pStyle w:val="ListParagraph"/>
        <w:numPr>
          <w:ilvl w:val="0"/>
          <w:numId w:val="25"/>
        </w:numPr>
      </w:pPr>
      <w:r>
        <w:t xml:space="preserve">From a technical perspective information can for example be given different priorities or be offered different communication capabilities fitting to the information behaviour. </w:t>
      </w:r>
      <w:r w:rsidR="002873F4">
        <w:t>This however always goes with a cost in which lower priorities will have to pay for the burden of the higher priorities.</w:t>
      </w:r>
    </w:p>
    <w:p w14:paraId="7AFF2E10" w14:textId="624F3B6C" w:rsidR="00417016" w:rsidRDefault="002873F4" w:rsidP="00CF70BC">
      <w:r>
        <w:t xml:space="preserve">In an open system such as the internet the large number of users (millions of users) damp the dynamic behaviour in general which has a positive effect on the QoS, by which the above </w:t>
      </w:r>
      <w:r w:rsidR="00491B5A">
        <w:t xml:space="preserve">three </w:t>
      </w:r>
      <w:r>
        <w:t>mechanisms are sufficient to realize an acceptab</w:t>
      </w:r>
      <w:r w:rsidR="008D375D">
        <w:t>le</w:t>
      </w:r>
      <w:r>
        <w:t xml:space="preserve"> QoS</w:t>
      </w:r>
      <w:r w:rsidR="001950EB">
        <w:t xml:space="preserve"> for most internet services. </w:t>
      </w:r>
    </w:p>
    <w:p w14:paraId="55390EBE" w14:textId="19740D49" w:rsidR="008D375D" w:rsidRDefault="00D50196" w:rsidP="00CF70BC">
      <w:r>
        <w:t xml:space="preserve">Information exchange in the domain of transport </w:t>
      </w:r>
      <w:r w:rsidR="006D6787">
        <w:t xml:space="preserve">very quickly </w:t>
      </w:r>
      <w:r w:rsidR="00491B5A">
        <w:t xml:space="preserve">has </w:t>
      </w:r>
      <w:r>
        <w:t xml:space="preserve">safety </w:t>
      </w:r>
      <w:r w:rsidR="006D6787">
        <w:t>impact and</w:t>
      </w:r>
      <w:r>
        <w:t xml:space="preserve"> require</w:t>
      </w:r>
      <w:r w:rsidR="00491B5A">
        <w:t>s</w:t>
      </w:r>
      <w:r>
        <w:t xml:space="preserve"> a high</w:t>
      </w:r>
      <w:r w:rsidR="00491B5A">
        <w:t>er</w:t>
      </w:r>
      <w:r>
        <w:t xml:space="preserve"> level of </w:t>
      </w:r>
      <w:r w:rsidR="006D6787">
        <w:t>QoS</w:t>
      </w:r>
      <w:r w:rsidR="00491B5A">
        <w:t xml:space="preserve"> and TWN</w:t>
      </w:r>
      <w:r w:rsidR="006D6787">
        <w:t xml:space="preserve">. </w:t>
      </w:r>
      <w:r w:rsidR="008D375D">
        <w:t xml:space="preserve">While some of the ITS Release 1 use cases can </w:t>
      </w:r>
      <w:r w:rsidR="006D6787">
        <w:t>still b</w:t>
      </w:r>
      <w:r w:rsidR="008D375D">
        <w:t xml:space="preserve">e realized </w:t>
      </w:r>
      <w:r w:rsidR="006D6787">
        <w:t xml:space="preserve">with an </w:t>
      </w:r>
      <w:r w:rsidR="008D375D">
        <w:t>internet</w:t>
      </w:r>
      <w:r w:rsidR="006D6787">
        <w:t xml:space="preserve"> level of QoS</w:t>
      </w:r>
      <w:r w:rsidR="008D375D">
        <w:t>,</w:t>
      </w:r>
      <w:r w:rsidR="006D6787">
        <w:t xml:space="preserve"> </w:t>
      </w:r>
      <w:r w:rsidR="00491B5A">
        <w:t xml:space="preserve">extended </w:t>
      </w:r>
      <w:r w:rsidR="008D375D">
        <w:t xml:space="preserve">ITS Release 2 </w:t>
      </w:r>
      <w:r w:rsidR="006D6787">
        <w:t>use case requirements are more demanding</w:t>
      </w:r>
      <w:r w:rsidR="008D375D">
        <w:t>.</w:t>
      </w:r>
    </w:p>
    <w:p w14:paraId="1B65509A" w14:textId="142E562E" w:rsidR="007866D4" w:rsidRDefault="006D6787" w:rsidP="00CF70BC">
      <w:r>
        <w:t xml:space="preserve">One aspect of satisfying automated </w:t>
      </w:r>
      <w:r w:rsidR="002873F4">
        <w:t xml:space="preserve">mobility </w:t>
      </w:r>
      <w:r w:rsidR="007866D4">
        <w:t xml:space="preserve">systems </w:t>
      </w:r>
      <w:r>
        <w:t xml:space="preserve">is to provide higher levels of </w:t>
      </w:r>
      <w:r w:rsidR="000F2AB8">
        <w:t xml:space="preserve">QoS </w:t>
      </w:r>
      <w:r w:rsidR="00491B5A">
        <w:t xml:space="preserve">and TWN </w:t>
      </w:r>
      <w:r>
        <w:t xml:space="preserve">by realizing a high </w:t>
      </w:r>
      <w:r w:rsidR="00317D9C">
        <w:t>certainty</w:t>
      </w:r>
      <w:r>
        <w:t xml:space="preserve"> that information can be disseminated and reaches the users of the information under time environmental critical conditions</w:t>
      </w:r>
      <w:r w:rsidR="00491B5A">
        <w:t xml:space="preserve"> while meeting other, for instance time, requirements</w:t>
      </w:r>
      <w:r w:rsidR="007866D4">
        <w:t xml:space="preserve">. </w:t>
      </w:r>
      <w:r w:rsidR="00BF6854">
        <w:t xml:space="preserve">The </w:t>
      </w:r>
      <w:r w:rsidR="00317D9C">
        <w:t>certainty</w:t>
      </w:r>
      <w:r w:rsidR="00BF6854">
        <w:t xml:space="preserve"> depends larg</w:t>
      </w:r>
      <w:r w:rsidR="00317D9C">
        <w:t>ely</w:t>
      </w:r>
      <w:r w:rsidR="00BF6854">
        <w:t xml:space="preserve"> on the openness </w:t>
      </w:r>
      <w:r w:rsidR="00317D9C">
        <w:t>and</w:t>
      </w:r>
      <w:r w:rsidR="00BF6854">
        <w:t xml:space="preserve"> accessibility of the network. </w:t>
      </w:r>
      <w:r w:rsidR="00317D9C">
        <w:t>This includes ensuring that there is enough bandwidth available as to aspects of reducing the</w:t>
      </w:r>
      <w:r w:rsidR="00BF6854">
        <w:t xml:space="preserve"> sensitive for </w:t>
      </w:r>
      <w:r w:rsidR="007866D4">
        <w:t xml:space="preserve">Denial-of </w:t>
      </w:r>
      <w:r w:rsidR="00CD71DD">
        <w:t>S</w:t>
      </w:r>
      <w:r w:rsidR="007866D4">
        <w:t>ervice (DoS</w:t>
      </w:r>
      <w:r w:rsidR="00BF6854">
        <w:t>, a</w:t>
      </w:r>
      <w:r w:rsidR="007866D4">
        <w:t xml:space="preserve"> typical cyber-attacks</w:t>
      </w:r>
      <w:r w:rsidR="00BF6854">
        <w:t xml:space="preserve">), attacks which </w:t>
      </w:r>
      <w:r w:rsidR="007866D4">
        <w:t>make use of the</w:t>
      </w:r>
      <w:r w:rsidR="00BF6854">
        <w:t xml:space="preserve"> bandwidth</w:t>
      </w:r>
      <w:r w:rsidR="007866D4">
        <w:t xml:space="preserve"> limitations of the network. Only when common agreements guarant</w:t>
      </w:r>
      <w:r w:rsidR="00BF6854">
        <w:t xml:space="preserve">ies in a closed communication environment a high level of </w:t>
      </w:r>
      <w:r w:rsidR="0004724F">
        <w:t xml:space="preserve">QoS </w:t>
      </w:r>
      <w:r w:rsidR="00491B5A">
        <w:t xml:space="preserve">and TWN </w:t>
      </w:r>
      <w:r w:rsidR="00BF6854">
        <w:t>can be reached</w:t>
      </w:r>
      <w:r w:rsidR="007866D4">
        <w:t xml:space="preserve">. </w:t>
      </w:r>
    </w:p>
    <w:p w14:paraId="1160B57E" w14:textId="61C8C221" w:rsidR="007866D4" w:rsidRDefault="007866D4" w:rsidP="00CF70BC">
      <w:r>
        <w:t>In case of safety</w:t>
      </w:r>
      <w:r w:rsidR="00550D63">
        <w:t xml:space="preserve"> related services</w:t>
      </w:r>
      <w:r>
        <w:t xml:space="preserve">, </w:t>
      </w:r>
      <w:r w:rsidR="006A52F9">
        <w:t xml:space="preserve">a specific level of </w:t>
      </w:r>
      <w:r w:rsidR="00317D9C">
        <w:t xml:space="preserve">QoS </w:t>
      </w:r>
      <w:r w:rsidR="00491B5A">
        <w:t xml:space="preserve">and TWN </w:t>
      </w:r>
      <w:r w:rsidR="00317D9C">
        <w:t xml:space="preserve">are </w:t>
      </w:r>
      <w:r>
        <w:t>required as otherwise the safety</w:t>
      </w:r>
      <w:r w:rsidR="00D54D8B">
        <w:t xml:space="preserve"> related operation</w:t>
      </w:r>
      <w:r>
        <w:t xml:space="preserve"> can’t be guaranteed. As </w:t>
      </w:r>
      <w:r w:rsidR="00317D9C">
        <w:t>QoS</w:t>
      </w:r>
      <w:r w:rsidR="00491B5A" w:rsidRPr="00491B5A">
        <w:t xml:space="preserve"> </w:t>
      </w:r>
      <w:r w:rsidR="00491B5A">
        <w:t>and TWN</w:t>
      </w:r>
      <w:r w:rsidR="00317D9C">
        <w:t xml:space="preserve"> are</w:t>
      </w:r>
      <w:r>
        <w:t xml:space="preserve"> coming with a price, discussions are started to what level of costs the safety should be guaranteed. This is a society cultural </w:t>
      </w:r>
      <w:r w:rsidR="00317D9C">
        <w:t>question and generally</w:t>
      </w:r>
      <w:r>
        <w:t xml:space="preserve"> out of scope of standardisation. However</w:t>
      </w:r>
      <w:r w:rsidR="00D46B87">
        <w:t>,</w:t>
      </w:r>
      <w:r>
        <w:t xml:space="preserve"> C-ITS </w:t>
      </w:r>
      <w:r w:rsidR="00D46B87">
        <w:t>is</w:t>
      </w:r>
      <w:r>
        <w:t xml:space="preserve"> of interest for a specific group of stakeholders and not to the society as a hole, which allow</w:t>
      </w:r>
      <w:r w:rsidR="00D46B87">
        <w:t>ed</w:t>
      </w:r>
      <w:r>
        <w:t xml:space="preserve"> us to come to agreement about the </w:t>
      </w:r>
      <w:r w:rsidR="0004724F">
        <w:t>requirement levels for QoS</w:t>
      </w:r>
      <w:r w:rsidR="00491B5A" w:rsidRPr="00491B5A">
        <w:t xml:space="preserve"> </w:t>
      </w:r>
      <w:r w:rsidR="00491B5A">
        <w:t>and TWN</w:t>
      </w:r>
      <w:r w:rsidR="00D46B87">
        <w:t xml:space="preserve">. </w:t>
      </w:r>
    </w:p>
    <w:p w14:paraId="4474BA6F" w14:textId="3CA5017C" w:rsidR="00D46B87" w:rsidRDefault="007C2E2B" w:rsidP="00CF70BC">
      <w:r>
        <w:t>F</w:t>
      </w:r>
      <w:r w:rsidR="00D46B87">
        <w:t>or advanced C-ITS services and a</w:t>
      </w:r>
      <w:r w:rsidR="0056457B">
        <w:t>utomated systems</w:t>
      </w:r>
      <w:r>
        <w:t xml:space="preserve"> </w:t>
      </w:r>
      <w:r w:rsidR="00D46B87">
        <w:t xml:space="preserve">several approaches </w:t>
      </w:r>
      <w:r w:rsidR="0056457B">
        <w:t xml:space="preserve">are </w:t>
      </w:r>
      <w:r w:rsidR="00D46B87">
        <w:t xml:space="preserve">being developed to realize a </w:t>
      </w:r>
      <w:r w:rsidR="0056457B">
        <w:t xml:space="preserve">controlled system </w:t>
      </w:r>
      <w:r w:rsidR="00776820">
        <w:t xml:space="preserve">environment </w:t>
      </w:r>
      <w:r w:rsidR="00E1040D">
        <w:t>for</w:t>
      </w:r>
      <w:r w:rsidR="00D46B87">
        <w:t xml:space="preserve"> extended </w:t>
      </w:r>
      <w:r w:rsidR="00317D9C">
        <w:t>trustworthiness and QoS needed for</w:t>
      </w:r>
      <w:r w:rsidR="00014B76">
        <w:t xml:space="preserve"> </w:t>
      </w:r>
      <w:r w:rsidR="00D46B87">
        <w:t>Release 2</w:t>
      </w:r>
      <w:r w:rsidR="00A6239E">
        <w:t xml:space="preserve">. </w:t>
      </w:r>
    </w:p>
    <w:p w14:paraId="672E299C" w14:textId="06831001" w:rsidR="005A26CE" w:rsidRDefault="00566BF4" w:rsidP="008C3E1D">
      <w:r>
        <w:t xml:space="preserve">In </w:t>
      </w:r>
      <w:r w:rsidR="00A6239E">
        <w:t>the C-</w:t>
      </w:r>
      <w:r w:rsidR="00776820">
        <w:t xml:space="preserve">ITS </w:t>
      </w:r>
      <w:r>
        <w:t xml:space="preserve">ecosystem </w:t>
      </w:r>
      <w:r w:rsidR="00A6239E">
        <w:t>the message behaviour depends on</w:t>
      </w:r>
      <w:r w:rsidR="00317D9C">
        <w:t xml:space="preserve"> mostly</w:t>
      </w:r>
      <w:r w:rsidR="00A6239E">
        <w:t xml:space="preserve"> non</w:t>
      </w:r>
      <w:r w:rsidR="007B0F12">
        <w:t>-</w:t>
      </w:r>
      <w:r w:rsidR="00A6239E">
        <w:t>predictable events and circumstances</w:t>
      </w:r>
      <w:r>
        <w:t>.</w:t>
      </w:r>
      <w:r w:rsidR="00A6239E">
        <w:t xml:space="preserve"> </w:t>
      </w:r>
      <w:r>
        <w:t>Within</w:t>
      </w:r>
      <w:r w:rsidR="00A6239E">
        <w:t xml:space="preserve"> this </w:t>
      </w:r>
      <w:r>
        <w:t xml:space="preserve">ecosystem </w:t>
      </w:r>
      <w:r w:rsidR="007B0F12">
        <w:t xml:space="preserve">various </w:t>
      </w:r>
      <w:r w:rsidR="00A6239E">
        <w:t xml:space="preserve">parties are interested in </w:t>
      </w:r>
      <w:r>
        <w:t>various</w:t>
      </w:r>
      <w:r w:rsidR="00E704E3">
        <w:t xml:space="preserve"> different</w:t>
      </w:r>
      <w:r>
        <w:t xml:space="preserve"> </w:t>
      </w:r>
      <w:r w:rsidR="00A6239E">
        <w:t>C-ITS services and make use of the communications</w:t>
      </w:r>
      <w:r w:rsidR="006B0D5A">
        <w:t xml:space="preserve"> capabilities in </w:t>
      </w:r>
      <w:r w:rsidR="00A6239E">
        <w:t>different</w:t>
      </w:r>
      <w:r w:rsidR="006B0D5A">
        <w:t xml:space="preserve"> way</w:t>
      </w:r>
      <w:r w:rsidR="00317D9C">
        <w:t>s</w:t>
      </w:r>
      <w:r w:rsidR="00A6239E">
        <w:t xml:space="preserve">. </w:t>
      </w:r>
      <w:r w:rsidR="00051AB2">
        <w:t xml:space="preserve">To realize </w:t>
      </w:r>
      <w:r w:rsidR="005A26CE">
        <w:t xml:space="preserve">a </w:t>
      </w:r>
      <w:r w:rsidR="00317D9C">
        <w:t xml:space="preserve">trustworthy </w:t>
      </w:r>
      <w:r w:rsidR="00051AB2">
        <w:t>communication behaviour, organisational agreements (regulations and/or consortia) for establishing a stable environment are required. As the C-ITS information dissemination is very dynamic</w:t>
      </w:r>
      <w:r w:rsidR="006B0D5A">
        <w:t xml:space="preserve"> in time and size</w:t>
      </w:r>
      <w:r w:rsidR="00051AB2">
        <w:t xml:space="preserve">, additional technical measures are needed to enable applications and ITS-S services to be aware of the communication </w:t>
      </w:r>
      <w:r w:rsidR="00293B01">
        <w:t>capabilities</w:t>
      </w:r>
      <w:r w:rsidR="00051AB2">
        <w:t xml:space="preserve"> </w:t>
      </w:r>
      <w:r w:rsidR="007B0F12">
        <w:t xml:space="preserve">and </w:t>
      </w:r>
      <w:r w:rsidR="00051AB2">
        <w:t xml:space="preserve">to allow them to </w:t>
      </w:r>
      <w:r w:rsidR="00293B01">
        <w:t>take the</w:t>
      </w:r>
      <w:r w:rsidR="00051AB2">
        <w:t xml:space="preserve"> appropriate measures in any traffic scenario. As result for at least C-ITS but also other </w:t>
      </w:r>
      <w:r w:rsidR="00776820">
        <w:t xml:space="preserve">ITS </w:t>
      </w:r>
      <w:r w:rsidR="00051AB2">
        <w:t>service</w:t>
      </w:r>
      <w:r w:rsidR="007B0F12">
        <w:t>s</w:t>
      </w:r>
      <w:r w:rsidR="00051AB2">
        <w:t xml:space="preserve">, resource management </w:t>
      </w:r>
      <w:r w:rsidR="00776820">
        <w:t xml:space="preserve">methods </w:t>
      </w:r>
      <w:r w:rsidR="002E6118">
        <w:t xml:space="preserve">will </w:t>
      </w:r>
      <w:r w:rsidR="00776820">
        <w:t xml:space="preserve">increase the dissemination </w:t>
      </w:r>
      <w:r w:rsidR="00317D9C">
        <w:t>trustworthiness</w:t>
      </w:r>
      <w:r w:rsidR="00776820">
        <w:t>.</w:t>
      </w:r>
      <w:r w:rsidR="005A26CE">
        <w:t xml:space="preserve"> As this </w:t>
      </w:r>
      <w:r w:rsidR="002E6118">
        <w:t xml:space="preserve">is </w:t>
      </w:r>
      <w:r w:rsidR="005A26CE">
        <w:t xml:space="preserve">a system related </w:t>
      </w:r>
      <w:r w:rsidR="00317D9C">
        <w:t>trustworthiness</w:t>
      </w:r>
      <w:r w:rsidR="005A26CE">
        <w:t xml:space="preserve">, each </w:t>
      </w:r>
      <w:r w:rsidR="002E6118">
        <w:t>participating</w:t>
      </w:r>
      <w:r w:rsidR="005A26CE">
        <w:t xml:space="preserve"> ITS-S, needs to address the </w:t>
      </w:r>
      <w:r w:rsidR="00317D9C">
        <w:t xml:space="preserve">trustworthiness and QoS </w:t>
      </w:r>
      <w:r w:rsidR="002E6118">
        <w:t>in a standardized manner</w:t>
      </w:r>
      <w:r w:rsidR="005A26CE">
        <w:t xml:space="preserve"> as otherwise the </w:t>
      </w:r>
      <w:r w:rsidR="00283B34">
        <w:t xml:space="preserve">resulting </w:t>
      </w:r>
      <w:r w:rsidR="005A26CE">
        <w:t>behaviour</w:t>
      </w:r>
      <w:r w:rsidR="008C3E1D">
        <w:t xml:space="preserve"> of a group of ITS-Ss cannot be predicted</w:t>
      </w:r>
      <w:r w:rsidR="005A26CE">
        <w:t xml:space="preserve">. </w:t>
      </w:r>
    </w:p>
    <w:p w14:paraId="43F3F523" w14:textId="6D09A005" w:rsidR="00160DFB" w:rsidRDefault="00B626EA" w:rsidP="00CF70BC">
      <w:r>
        <w:t>A b</w:t>
      </w:r>
      <w:r w:rsidR="00776820">
        <w:t xml:space="preserve">asic </w:t>
      </w:r>
      <w:r w:rsidR="00317D9C">
        <w:t xml:space="preserve">trustworthiness and QoS </w:t>
      </w:r>
      <w:r w:rsidR="005A26CE">
        <w:t xml:space="preserve">improvement </w:t>
      </w:r>
      <w:r w:rsidR="00776820">
        <w:t xml:space="preserve">method </w:t>
      </w:r>
      <w:r>
        <w:t xml:space="preserve">is to increase the </w:t>
      </w:r>
      <w:r w:rsidR="00776820">
        <w:t>media (radio) access possibilities</w:t>
      </w:r>
      <w:r>
        <w:t xml:space="preserve"> by e.g. increasing the communication bandwidth or by realizing </w:t>
      </w:r>
      <w:r w:rsidR="00776820">
        <w:t>agreements among the stakeholders how to use the available medi</w:t>
      </w:r>
      <w:r w:rsidR="00DC6549">
        <w:t>a</w:t>
      </w:r>
      <w:r>
        <w:t>.</w:t>
      </w:r>
      <w:r w:rsidR="005A26CE">
        <w:t xml:space="preserve"> </w:t>
      </w:r>
      <w:r>
        <w:t xml:space="preserve">This is </w:t>
      </w:r>
      <w:r w:rsidR="005A26CE">
        <w:t>useful for</w:t>
      </w:r>
      <w:r w:rsidR="00776820">
        <w:t xml:space="preserve"> many </w:t>
      </w:r>
      <w:r w:rsidR="005A26CE">
        <w:t xml:space="preserve">of the </w:t>
      </w:r>
      <w:r w:rsidR="005F2B37">
        <w:t>non-safety</w:t>
      </w:r>
      <w:r w:rsidR="00776820">
        <w:t xml:space="preserve"> or limited safety relevant ITS services. </w:t>
      </w:r>
    </w:p>
    <w:p w14:paraId="34D5ECC0" w14:textId="3A4B3F4D" w:rsidR="0030629B" w:rsidRDefault="00FE546A" w:rsidP="00CF70BC">
      <w:r>
        <w:t>As spectrum is always limited, the available bandwi</w:t>
      </w:r>
      <w:r w:rsidR="008C3E1D">
        <w:t>d</w:t>
      </w:r>
      <w:r>
        <w:t>th for exchanging information is limited</w:t>
      </w:r>
      <w:r w:rsidR="00195AE3">
        <w:t xml:space="preserve">. </w:t>
      </w:r>
      <w:r w:rsidR="00776820">
        <w:t xml:space="preserve">For more </w:t>
      </w:r>
      <w:r w:rsidR="00195AE3">
        <w:t xml:space="preserve">critical </w:t>
      </w:r>
      <w:r w:rsidR="00776820">
        <w:t xml:space="preserve">safety related or even safety critical (higher ASILs) </w:t>
      </w:r>
      <w:r w:rsidR="007B0F12">
        <w:t xml:space="preserve">this </w:t>
      </w:r>
      <w:r w:rsidR="00195AE3">
        <w:t>limitation can be an issue, and therefore more stringent measures are needed</w:t>
      </w:r>
      <w:r w:rsidR="00160DFB">
        <w:t xml:space="preserve"> to realize a better QoS</w:t>
      </w:r>
      <w:r w:rsidR="00491B5A" w:rsidRPr="00491B5A">
        <w:t xml:space="preserve"> </w:t>
      </w:r>
      <w:r w:rsidR="00491B5A">
        <w:t>and TWN.</w:t>
      </w:r>
      <w:r w:rsidR="005F2B37">
        <w:t xml:space="preserve"> </w:t>
      </w:r>
      <w:r w:rsidR="00776820">
        <w:t xml:space="preserve"> </w:t>
      </w:r>
    </w:p>
    <w:p w14:paraId="6BBCBD4B" w14:textId="5DF24FC6" w:rsidR="00D47A25" w:rsidRDefault="00751BDB" w:rsidP="0030629B">
      <w:r>
        <w:t>How to realize</w:t>
      </w:r>
      <w:r w:rsidR="005F2B37">
        <w:t xml:space="preserve"> </w:t>
      </w:r>
      <w:r>
        <w:t xml:space="preserve">an </w:t>
      </w:r>
      <w:r w:rsidR="005F2B37">
        <w:t xml:space="preserve">acceptable IDP </w:t>
      </w:r>
      <w:r>
        <w:t>depends on the network configuration, it is in a direct ITS-S – ITS-S (X2X) or in a ITS-S – Service Provider – ITS-S (X2N2X) network</w:t>
      </w:r>
      <w:r w:rsidR="00D47A25">
        <w:t xml:space="preserve">, see for more clarification ETSI TR 103 903 </w:t>
      </w:r>
      <w:r w:rsidR="00D47A25">
        <w:fldChar w:fldCharType="begin"/>
      </w:r>
      <w:r w:rsidR="00D47A25">
        <w:instrText xml:space="preserve"> REF ETSI_TR103903 \h </w:instrText>
      </w:r>
      <w:r w:rsidR="00D47A25">
        <w:fldChar w:fldCharType="separate"/>
      </w:r>
      <w:r w:rsidR="00D47A25" w:rsidRPr="00913ABF">
        <w:t>[i.</w:t>
      </w:r>
      <w:r w:rsidR="00D47A25">
        <w:t>3</w:t>
      </w:r>
      <w:r w:rsidR="00D47A25" w:rsidRPr="00913ABF">
        <w:t>]</w:t>
      </w:r>
      <w:r w:rsidR="00D47A25">
        <w:fldChar w:fldCharType="end"/>
      </w:r>
      <w:r w:rsidR="00D47A25">
        <w:t xml:space="preserve">). Also see details on the Networking &amp; Transport layer involvement </w:t>
      </w:r>
      <w:r w:rsidR="0030629B">
        <w:t xml:space="preserve">in </w:t>
      </w:r>
      <w:r w:rsidR="004A3FC7">
        <w:t>clause</w:t>
      </w:r>
      <w:r w:rsidR="00D47A25">
        <w:t xml:space="preserve"> </w:t>
      </w:r>
      <w:r w:rsidR="00D47A25">
        <w:fldChar w:fldCharType="begin"/>
      </w:r>
      <w:r w:rsidR="00D47A25">
        <w:instrText xml:space="preserve"> REF _Ref179119612 \r \h </w:instrText>
      </w:r>
      <w:r w:rsidR="00D47A25">
        <w:fldChar w:fldCharType="separate"/>
      </w:r>
      <w:r w:rsidR="00D47A25">
        <w:t>4.3.5</w:t>
      </w:r>
      <w:r w:rsidR="00D47A25">
        <w:fldChar w:fldCharType="end"/>
      </w:r>
      <w:r w:rsidR="0030629B">
        <w:t>.</w:t>
      </w:r>
    </w:p>
    <w:p w14:paraId="01936F26" w14:textId="327105BF" w:rsidR="00D47A25" w:rsidRDefault="0030629B" w:rsidP="00CF70BC">
      <w:r>
        <w:t xml:space="preserve">A first possibility could be that </w:t>
      </w:r>
      <w:r w:rsidR="005F2B37">
        <w:t>all stakeholders agree what information should be disseminated</w:t>
      </w:r>
      <w:r w:rsidR="00B626EA">
        <w:t xml:space="preserve">, like it is </w:t>
      </w:r>
      <w:r w:rsidR="00D47A25">
        <w:t xml:space="preserve">currently realized based on agreements </w:t>
      </w:r>
      <w:r w:rsidR="00160DFB">
        <w:t xml:space="preserve">and profiles from and </w:t>
      </w:r>
      <w:r w:rsidR="00D47A25">
        <w:t>between Car2Car Communication Consortium and C-Roads in Europe.</w:t>
      </w:r>
      <w:r w:rsidR="00BB2B86">
        <w:t xml:space="preserve"> According to this agreement it has been agreed what Release 1 messages can and should only be disseminated in the single 10 MHz channel based on IEEE 802/11p lower layer technology.</w:t>
      </w:r>
    </w:p>
    <w:p w14:paraId="7E6EA03F" w14:textId="40BEE1D3" w:rsidR="005F2B37" w:rsidRDefault="00906AA8" w:rsidP="00CF70BC">
      <w:r>
        <w:t xml:space="preserve">A second possibility could be </w:t>
      </w:r>
      <w:r w:rsidR="005F2B37">
        <w:t>a more closed system as currently</w:t>
      </w:r>
      <w:r>
        <w:t xml:space="preserve"> deployed</w:t>
      </w:r>
      <w:r w:rsidR="005F2B37">
        <w:t xml:space="preserve"> by C-ITS in which there is only information exchange </w:t>
      </w:r>
      <w:r w:rsidR="00D47A25">
        <w:t xml:space="preserve">directly </w:t>
      </w:r>
      <w:r w:rsidR="005F2B37">
        <w:t xml:space="preserve">between </w:t>
      </w:r>
      <w:r w:rsidR="00D47A25">
        <w:t>d</w:t>
      </w:r>
      <w:r w:rsidR="005F2B37">
        <w:t xml:space="preserve">ata source and </w:t>
      </w:r>
      <w:r w:rsidR="00D47A25">
        <w:t xml:space="preserve">data </w:t>
      </w:r>
      <w:r w:rsidR="005F2B37">
        <w:t xml:space="preserve">sink </w:t>
      </w:r>
      <w:r w:rsidR="00D47A25">
        <w:t xml:space="preserve">(ITS-S to ITS-S) </w:t>
      </w:r>
      <w:r w:rsidR="005F2B37">
        <w:t xml:space="preserve">without involvement of networks and network operators. </w:t>
      </w:r>
      <w:r w:rsidR="0030629B">
        <w:t xml:space="preserve">This is </w:t>
      </w:r>
      <w:r w:rsidR="005F2B37">
        <w:t xml:space="preserve">an aspect of </w:t>
      </w:r>
      <w:r w:rsidR="0030629B">
        <w:t xml:space="preserve">particular </w:t>
      </w:r>
      <w:r w:rsidR="005F2B37">
        <w:t>relevance for Release 2 and beyond C-ITS services requiring serious liability coverage</w:t>
      </w:r>
      <w:r w:rsidR="0030629B">
        <w:t xml:space="preserve">, which </w:t>
      </w:r>
      <w:r w:rsidR="00D47A25">
        <w:t>are safety critical</w:t>
      </w:r>
      <w:r w:rsidR="005F2B37">
        <w:t>.</w:t>
      </w:r>
    </w:p>
    <w:p w14:paraId="490C0770" w14:textId="4FB5E44F" w:rsidR="00845FE5" w:rsidRDefault="00AE7734" w:rsidP="00CF70BC">
      <w:r>
        <w:t>This report</w:t>
      </w:r>
      <w:r w:rsidR="002704DA">
        <w:t xml:space="preserve"> intend</w:t>
      </w:r>
      <w:r>
        <w:t>s</w:t>
      </w:r>
      <w:r w:rsidR="002704DA">
        <w:t xml:space="preserve"> to </w:t>
      </w:r>
      <w:r>
        <w:t>introduce</w:t>
      </w:r>
      <w:r w:rsidR="002704DA">
        <w:t xml:space="preserve"> a method which further increase the </w:t>
      </w:r>
      <w:r w:rsidR="00491B5A">
        <w:t>QoS</w:t>
      </w:r>
      <w:r w:rsidR="00491B5A" w:rsidRPr="00491B5A">
        <w:t xml:space="preserve"> </w:t>
      </w:r>
      <w:r w:rsidR="00491B5A">
        <w:t>and TWN</w:t>
      </w:r>
      <w:r w:rsidR="00491B5A" w:rsidDel="00491B5A">
        <w:t xml:space="preserve"> </w:t>
      </w:r>
      <w:r w:rsidR="002704DA">
        <w:t>enabling the applications and ITS-S services to be aware of the dissemination capabilities</w:t>
      </w:r>
      <w:r w:rsidR="0030629B">
        <w:t xml:space="preserve"> and</w:t>
      </w:r>
      <w:r w:rsidR="002704DA">
        <w:t xml:space="preserve"> </w:t>
      </w:r>
      <w:r>
        <w:t xml:space="preserve">whether </w:t>
      </w:r>
      <w:r w:rsidR="0030629B">
        <w:t xml:space="preserve">they are </w:t>
      </w:r>
      <w:r>
        <w:t>influenced by other applications in the same ITS-S or in other ITS-S</w:t>
      </w:r>
      <w:r w:rsidR="0030629B">
        <w:t>,</w:t>
      </w:r>
      <w:r>
        <w:t xml:space="preserve"> </w:t>
      </w:r>
      <w:r w:rsidR="0030629B">
        <w:t xml:space="preserve">being them </w:t>
      </w:r>
      <w:r>
        <w:t>dissemin</w:t>
      </w:r>
      <w:r w:rsidR="0030629B">
        <w:t xml:space="preserve">ated in the same or other </w:t>
      </w:r>
      <w:r>
        <w:t>channels</w:t>
      </w:r>
      <w:r w:rsidR="002704DA">
        <w:t>.</w:t>
      </w:r>
    </w:p>
    <w:p w14:paraId="6B0E11DD" w14:textId="07382348" w:rsidR="002704DA" w:rsidRDefault="002704DA" w:rsidP="00CF70BC">
      <w:r>
        <w:t>Th</w:t>
      </w:r>
      <w:r w:rsidR="00845FE5">
        <w:t>e</w:t>
      </w:r>
      <w:r>
        <w:t xml:space="preserve"> </w:t>
      </w:r>
      <w:r w:rsidR="00845FE5">
        <w:t xml:space="preserve">studies </w:t>
      </w:r>
      <w:r>
        <w:t xml:space="preserve">therefore focus on </w:t>
      </w:r>
      <w:r w:rsidR="00845FE5">
        <w:t xml:space="preserve">aspects which are relevant for the definition of </w:t>
      </w:r>
      <w:r w:rsidR="00E676EB">
        <w:t>a R</w:t>
      </w:r>
      <w:r w:rsidR="00845FE5">
        <w:t xml:space="preserve">esource </w:t>
      </w:r>
      <w:r w:rsidR="00E676EB">
        <w:t xml:space="preserve">Management (RM) method </w:t>
      </w:r>
      <w:r w:rsidR="00845FE5">
        <w:t xml:space="preserve">which supports an </w:t>
      </w:r>
      <w:r w:rsidR="00491B5A">
        <w:t>QoS</w:t>
      </w:r>
      <w:r w:rsidR="00491B5A" w:rsidRPr="00491B5A">
        <w:t xml:space="preserve"> </w:t>
      </w:r>
      <w:r w:rsidR="00491B5A">
        <w:t>and TWN</w:t>
      </w:r>
      <w:r w:rsidR="00491B5A" w:rsidDel="00491B5A">
        <w:t xml:space="preserve"> </w:t>
      </w:r>
      <w:r>
        <w:t>improvement</w:t>
      </w:r>
      <w:r w:rsidR="00845FE5">
        <w:t>.</w:t>
      </w:r>
    </w:p>
    <w:p w14:paraId="375CB08C" w14:textId="73E6A68A" w:rsidR="00B20EFC" w:rsidRDefault="004D3B2B" w:rsidP="00F140CF">
      <w:pPr>
        <w:pStyle w:val="Heading2"/>
        <w:numPr>
          <w:ilvl w:val="1"/>
          <w:numId w:val="11"/>
        </w:numPr>
        <w:ind w:left="1134"/>
      </w:pPr>
      <w:bookmarkStart w:id="139" w:name="_Ref189651795"/>
      <w:bookmarkStart w:id="140" w:name="_Toc197337001"/>
      <w:r>
        <w:t>The system context</w:t>
      </w:r>
      <w:bookmarkEnd w:id="139"/>
      <w:bookmarkEnd w:id="140"/>
    </w:p>
    <w:p w14:paraId="3E9E7EA8" w14:textId="5A57AA0B" w:rsidR="00E7307F" w:rsidRPr="00E7307F" w:rsidRDefault="00E7307F" w:rsidP="00F140CF">
      <w:pPr>
        <w:pStyle w:val="Heading3"/>
        <w:numPr>
          <w:ilvl w:val="2"/>
          <w:numId w:val="11"/>
        </w:numPr>
        <w:ind w:left="1134"/>
      </w:pPr>
      <w:bookmarkStart w:id="141" w:name="_Toc197337002"/>
      <w:r>
        <w:t>Overview</w:t>
      </w:r>
      <w:bookmarkEnd w:id="141"/>
    </w:p>
    <w:p w14:paraId="2C1DEC61" w14:textId="06BD0DFF" w:rsidR="004D3B2B" w:rsidRDefault="00C16E51" w:rsidP="004D3B2B">
      <w:r>
        <w:t xml:space="preserve">Previous work related to resource management was realized </w:t>
      </w:r>
      <w:r w:rsidR="00CE2945">
        <w:t>by the</w:t>
      </w:r>
      <w:r>
        <w:t xml:space="preserve"> Multi</w:t>
      </w:r>
      <w:r w:rsidR="00CE2945">
        <w:t>-</w:t>
      </w:r>
      <w:r>
        <w:t xml:space="preserve">Channel Operation (MCO) </w:t>
      </w:r>
      <w:r w:rsidR="00CE2945">
        <w:t xml:space="preserve">work resulting in the MCO </w:t>
      </w:r>
      <w:r>
        <w:t>architecture</w:t>
      </w:r>
      <w:r w:rsidR="00CE2945">
        <w:t xml:space="preserve"> for C-ITS</w:t>
      </w:r>
      <w:r>
        <w:t xml:space="preserve"> </w:t>
      </w:r>
      <w:r w:rsidR="00CE2945">
        <w:t>as specified</w:t>
      </w:r>
      <w:r>
        <w:t xml:space="preserve"> in the </w:t>
      </w:r>
      <w:r w:rsidR="00612AEA">
        <w:t>ETSI TS 103 69</w:t>
      </w:r>
      <w:r>
        <w:t>7</w:t>
      </w:r>
      <w:r w:rsidR="00612AEA">
        <w:t xml:space="preserve"> </w:t>
      </w:r>
      <w:r w:rsidR="00612AEA">
        <w:fldChar w:fldCharType="begin"/>
      </w:r>
      <w:r w:rsidR="00612AEA">
        <w:instrText xml:space="preserve"> REF ETSI_TS103696 \h </w:instrText>
      </w:r>
      <w:r w:rsidR="00612AEA">
        <w:fldChar w:fldCharType="separate"/>
      </w:r>
      <w:r w:rsidR="00612AEA" w:rsidRPr="00913ABF">
        <w:t>[i.</w:t>
      </w:r>
      <w:r w:rsidR="00612AEA">
        <w:t>6</w:t>
      </w:r>
      <w:r w:rsidR="00612AEA" w:rsidRPr="00913ABF">
        <w:t>]</w:t>
      </w:r>
      <w:r w:rsidR="00612AEA">
        <w:fldChar w:fldCharType="end"/>
      </w:r>
      <w:r w:rsidR="004D3B2B">
        <w:t>.</w:t>
      </w:r>
      <w:r>
        <w:t xml:space="preserve"> </w:t>
      </w:r>
      <w:r w:rsidR="0030629B">
        <w:t xml:space="preserve">Present MCO functionalities are specified </w:t>
      </w:r>
      <w:r w:rsidR="00E7307F">
        <w:t xml:space="preserve">in </w:t>
      </w:r>
      <w:r w:rsidR="0030629B">
        <w:t xml:space="preserve">the ETSI Release 2 standards, TS 103 141 </w:t>
      </w:r>
      <w:r w:rsidR="0030629B">
        <w:fldChar w:fldCharType="begin"/>
      </w:r>
      <w:r w:rsidR="0030629B">
        <w:instrText xml:space="preserve"> REF ETSI_TS103141 \h </w:instrText>
      </w:r>
      <w:r w:rsidR="0030629B">
        <w:fldChar w:fldCharType="separate"/>
      </w:r>
      <w:r w:rsidR="0030629B" w:rsidRPr="00913ABF">
        <w:t>[i.</w:t>
      </w:r>
      <w:r w:rsidR="0030629B">
        <w:t>11</w:t>
      </w:r>
      <w:r w:rsidR="0030629B" w:rsidRPr="00913ABF">
        <w:t>]</w:t>
      </w:r>
      <w:r w:rsidR="0030629B">
        <w:fldChar w:fldCharType="end"/>
      </w:r>
      <w:r w:rsidR="0030629B">
        <w:t xml:space="preserve">, TS 103 836-4-1 </w:t>
      </w:r>
      <w:r w:rsidR="0030629B">
        <w:fldChar w:fldCharType="begin"/>
      </w:r>
      <w:r w:rsidR="0030629B">
        <w:instrText xml:space="preserve"> REF ETSI_TS103836_4_1 \h </w:instrText>
      </w:r>
      <w:r w:rsidR="0030629B">
        <w:fldChar w:fldCharType="separate"/>
      </w:r>
      <w:r w:rsidR="0030629B" w:rsidRPr="00913ABF">
        <w:t>[i.</w:t>
      </w:r>
      <w:r w:rsidR="0030629B">
        <w:t>12</w:t>
      </w:r>
      <w:r w:rsidR="0030629B" w:rsidRPr="00913ABF">
        <w:t>]</w:t>
      </w:r>
      <w:r w:rsidR="0030629B">
        <w:fldChar w:fldCharType="end"/>
      </w:r>
      <w:r w:rsidR="0030629B">
        <w:t xml:space="preserve"> and TS 103 103 695 </w:t>
      </w:r>
      <w:r w:rsidR="0030629B">
        <w:fldChar w:fldCharType="begin"/>
      </w:r>
      <w:r w:rsidR="0030629B">
        <w:instrText xml:space="preserve"> REF ETSI_TS103695 \h </w:instrText>
      </w:r>
      <w:r w:rsidR="0030629B">
        <w:fldChar w:fldCharType="separate"/>
      </w:r>
      <w:r w:rsidR="0030629B" w:rsidRPr="00913ABF">
        <w:t>[i.</w:t>
      </w:r>
      <w:r w:rsidR="0030629B">
        <w:t>13</w:t>
      </w:r>
      <w:r w:rsidR="0030629B" w:rsidRPr="00913ABF">
        <w:t>]</w:t>
      </w:r>
      <w:r w:rsidR="0030629B">
        <w:fldChar w:fldCharType="end"/>
      </w:r>
      <w:r w:rsidR="0030629B">
        <w:t xml:space="preserve">. </w:t>
      </w:r>
    </w:p>
    <w:p w14:paraId="79087DF9" w14:textId="1DCE9C12" w:rsidR="00CE2945" w:rsidRDefault="00CE2945" w:rsidP="004D3B2B">
      <w:r>
        <w:fldChar w:fldCharType="begin"/>
      </w:r>
      <w:r>
        <w:instrText xml:space="preserve"> REF _Ref93662724 \h </w:instrText>
      </w:r>
      <w:r>
        <w:fldChar w:fldCharType="separate"/>
      </w:r>
      <w:r w:rsidRPr="00191F27">
        <w:t xml:space="preserve">Figure </w:t>
      </w:r>
      <w:r>
        <w:rPr>
          <w:noProof/>
        </w:rPr>
        <w:t>1</w:t>
      </w:r>
      <w:r>
        <w:fldChar w:fldCharType="end"/>
      </w:r>
      <w:r>
        <w:t xml:space="preserve"> represents the MCO architecture as specified in the ETSI TS 103 697 </w:t>
      </w:r>
      <w:r w:rsidR="0030629B">
        <w:fldChar w:fldCharType="begin"/>
      </w:r>
      <w:r w:rsidR="0030629B">
        <w:instrText xml:space="preserve"> REF ETSI_TS103696 \h </w:instrText>
      </w:r>
      <w:r w:rsidR="0030629B">
        <w:fldChar w:fldCharType="separate"/>
      </w:r>
      <w:r w:rsidR="0030629B" w:rsidRPr="00913ABF">
        <w:t>[i.</w:t>
      </w:r>
      <w:r w:rsidR="0030629B">
        <w:t>6</w:t>
      </w:r>
      <w:r w:rsidR="0030629B" w:rsidRPr="00913ABF">
        <w:t>]</w:t>
      </w:r>
      <w:r w:rsidR="0030629B">
        <w:fldChar w:fldCharType="end"/>
      </w:r>
      <w:r w:rsidR="0030629B">
        <w:t xml:space="preserve">. The </w:t>
      </w:r>
      <w:r>
        <w:t>RM has effect on the aspects at the various layers</w:t>
      </w:r>
      <w:r w:rsidR="0030629B">
        <w:t xml:space="preserve">, as </w:t>
      </w:r>
      <w:r>
        <w:t xml:space="preserve">clarified in following </w:t>
      </w:r>
      <w:r w:rsidR="004A3FC7">
        <w:t>clause</w:t>
      </w:r>
      <w:r>
        <w:t>s.</w:t>
      </w:r>
    </w:p>
    <w:p w14:paraId="48B7178D" w14:textId="70C6D0E8" w:rsidR="0030629B" w:rsidRDefault="0030629B" w:rsidP="00413C92">
      <w:r>
        <w:t xml:space="preserve">The MCO specifications focussed on the realisation of the multi-channel use, while the Resource Management (RM) extends and generalizes this concept. The MCO architecture and related functionalities are therefore the basis for a wider resource management specification. </w:t>
      </w:r>
      <w:r w:rsidR="00413C92">
        <w:t>Resource management brings more robust and predictable channel use, whether this is for a single or multiple channels.</w:t>
      </w:r>
    </w:p>
    <w:p w14:paraId="0A5DCADB" w14:textId="591E6272" w:rsidR="005F47BF" w:rsidRPr="005F47BF" w:rsidRDefault="005F47BF" w:rsidP="005F47BF">
      <w:pPr>
        <w:jc w:val="center"/>
      </w:pPr>
      <w:r w:rsidRPr="005F47BF">
        <w:rPr>
          <w:noProof/>
          <w:lang w:val="it-IT" w:eastAsia="it-IT"/>
        </w:rPr>
        <w:drawing>
          <wp:inline distT="0" distB="0" distL="0" distR="0" wp14:anchorId="3243B137" wp14:editId="211C8E06">
            <wp:extent cx="4221365" cy="2946065"/>
            <wp:effectExtent l="0" t="0" r="0" b="635"/>
            <wp:docPr id="1799147613" name="Graphic 1">
              <a:extLst xmlns:a="http://schemas.openxmlformats.org/drawingml/2006/main">
                <a:ext uri="{FF2B5EF4-FFF2-40B4-BE49-F238E27FC236}">
                  <a16:creationId xmlns:a16="http://schemas.microsoft.com/office/drawing/2014/main" id="{921B8821-0053-1035-2EE2-90E04ACF27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1">
                      <a:extLst>
                        <a:ext uri="{FF2B5EF4-FFF2-40B4-BE49-F238E27FC236}">
                          <a16:creationId xmlns:a16="http://schemas.microsoft.com/office/drawing/2014/main" id="{921B8821-0053-1035-2EE2-90E04ACF2705}"/>
                        </a:ext>
                      </a:extLst>
                    </pic:cNvPr>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4284601" cy="2990197"/>
                    </a:xfrm>
                    <a:prstGeom prst="rect">
                      <a:avLst/>
                    </a:prstGeom>
                  </pic:spPr>
                </pic:pic>
              </a:graphicData>
            </a:graphic>
          </wp:inline>
        </w:drawing>
      </w:r>
    </w:p>
    <w:p w14:paraId="362C9096" w14:textId="5F1E8BDC" w:rsidR="0027479C" w:rsidRPr="0027479C" w:rsidRDefault="00612AEA" w:rsidP="0027479C">
      <w:pPr>
        <w:pStyle w:val="Caption"/>
        <w:jc w:val="center"/>
      </w:pPr>
      <w:bookmarkStart w:id="142" w:name="_Ref93662724"/>
      <w:bookmarkStart w:id="143" w:name="_Ref181949184"/>
      <w:r w:rsidRPr="00191F27">
        <w:t xml:space="preserve">Figure </w:t>
      </w:r>
      <w:r w:rsidR="00115785">
        <w:fldChar w:fldCharType="begin"/>
      </w:r>
      <w:r w:rsidR="00115785">
        <w:instrText xml:space="preserve"> SEQ Figure \* ARABIC </w:instrText>
      </w:r>
      <w:r w:rsidR="00115785">
        <w:fldChar w:fldCharType="separate"/>
      </w:r>
      <w:r w:rsidR="00115785">
        <w:rPr>
          <w:noProof/>
        </w:rPr>
        <w:t>1</w:t>
      </w:r>
      <w:r w:rsidR="00115785">
        <w:rPr>
          <w:noProof/>
        </w:rPr>
        <w:fldChar w:fldCharType="end"/>
      </w:r>
      <w:bookmarkEnd w:id="142"/>
      <w:r w:rsidRPr="00191F27">
        <w:t>:</w:t>
      </w:r>
      <w:r w:rsidR="00C16E51">
        <w:t xml:space="preserve"> T</w:t>
      </w:r>
      <w:r>
        <w:t xml:space="preserve">he MCO </w:t>
      </w:r>
      <w:r w:rsidR="00C16E51">
        <w:t xml:space="preserve">Architecture </w:t>
      </w:r>
      <w:r w:rsidR="00C16E51" w:rsidRPr="00C16E51">
        <w:t>[i.6]</w:t>
      </w:r>
      <w:bookmarkEnd w:id="143"/>
    </w:p>
    <w:p w14:paraId="04DBF358" w14:textId="2094AB80" w:rsidR="0004724F" w:rsidRDefault="0004724F" w:rsidP="00CF4805">
      <w:bookmarkStart w:id="144" w:name="_Toc180056814"/>
      <w:bookmarkStart w:id="145" w:name="_Toc180056815"/>
      <w:bookmarkStart w:id="146" w:name="_Toc180056816"/>
      <w:bookmarkStart w:id="147" w:name="_Toc180056817"/>
      <w:bookmarkStart w:id="148" w:name="_Toc180056818"/>
      <w:bookmarkStart w:id="149" w:name="_Toc180056820"/>
      <w:bookmarkStart w:id="150" w:name="_Toc180056821"/>
      <w:bookmarkStart w:id="151" w:name="_Toc180056822"/>
      <w:bookmarkEnd w:id="144"/>
      <w:bookmarkEnd w:id="145"/>
      <w:bookmarkEnd w:id="146"/>
      <w:bookmarkEnd w:id="147"/>
      <w:bookmarkEnd w:id="148"/>
      <w:bookmarkEnd w:id="149"/>
      <w:bookmarkEnd w:id="150"/>
      <w:bookmarkEnd w:id="151"/>
    </w:p>
    <w:p w14:paraId="797DC49E" w14:textId="26C55512" w:rsidR="00092406" w:rsidRDefault="0004724F" w:rsidP="001B0B6B">
      <w:r>
        <w:t xml:space="preserve">With ITS, the </w:t>
      </w:r>
      <w:r w:rsidR="00491B5A">
        <w:t>QoS</w:t>
      </w:r>
      <w:r w:rsidR="00491B5A" w:rsidRPr="00491B5A">
        <w:t xml:space="preserve"> </w:t>
      </w:r>
      <w:r w:rsidR="00491B5A">
        <w:t>and TWN</w:t>
      </w:r>
      <w:r w:rsidR="00491B5A" w:rsidDel="00491B5A">
        <w:t xml:space="preserve"> </w:t>
      </w:r>
      <w:r w:rsidR="00317D9C">
        <w:t xml:space="preserve">are </w:t>
      </w:r>
      <w:r w:rsidR="00413C92">
        <w:t>aspect</w:t>
      </w:r>
      <w:r>
        <w:t>s</w:t>
      </w:r>
      <w:r w:rsidR="00413C92">
        <w:t xml:space="preserve"> </w:t>
      </w:r>
      <w:r>
        <w:t>which are aspects to manage with the</w:t>
      </w:r>
      <w:r w:rsidR="00413C92">
        <w:t xml:space="preserve"> </w:t>
      </w:r>
      <w:r w:rsidR="00E676EB">
        <w:t>application</w:t>
      </w:r>
      <w:r w:rsidR="00413C92">
        <w:t>s</w:t>
      </w:r>
      <w:r w:rsidR="00E676EB">
        <w:t xml:space="preserve"> and </w:t>
      </w:r>
      <w:r w:rsidR="00413C92">
        <w:t xml:space="preserve">the </w:t>
      </w:r>
      <w:r w:rsidR="00E676EB">
        <w:t>Facilities Layer (FL)</w:t>
      </w:r>
      <w:r>
        <w:t xml:space="preserve"> services as there depending on the </w:t>
      </w:r>
      <w:r w:rsidR="00491B5A">
        <w:t>QoS</w:t>
      </w:r>
      <w:r w:rsidR="00491B5A" w:rsidRPr="00491B5A">
        <w:t xml:space="preserve"> </w:t>
      </w:r>
      <w:r w:rsidR="00491B5A">
        <w:t>and TWN</w:t>
      </w:r>
      <w:r w:rsidR="00491B5A" w:rsidDel="00491B5A">
        <w:t xml:space="preserve"> </w:t>
      </w:r>
      <w:r>
        <w:t xml:space="preserve">decisions can be made based on the capabilities of the </w:t>
      </w:r>
      <w:r w:rsidR="00E676EB">
        <w:t xml:space="preserve">Channel </w:t>
      </w:r>
      <w:r w:rsidR="0062415A">
        <w:t>Load</w:t>
      </w:r>
      <w:r w:rsidR="00E676EB">
        <w:t xml:space="preserve"> (C</w:t>
      </w:r>
      <w:r w:rsidR="00770A77">
        <w:t>L</w:t>
      </w:r>
      <w:r w:rsidR="00E676EB">
        <w:t xml:space="preserve">) of all </w:t>
      </w:r>
      <w:r w:rsidR="00E7307F">
        <w:t xml:space="preserve">available </w:t>
      </w:r>
      <w:r w:rsidR="00E676EB">
        <w:t>channels</w:t>
      </w:r>
      <w:r w:rsidR="00A62EF5">
        <w:t>,</w:t>
      </w:r>
      <w:r w:rsidR="00E676EB">
        <w:t xml:space="preserve"> which is a</w:t>
      </w:r>
      <w:r w:rsidR="003359E3">
        <w:t>n</w:t>
      </w:r>
      <w:r w:rsidR="00413C92">
        <w:t xml:space="preserve"> aspect related to the </w:t>
      </w:r>
      <w:r w:rsidR="00E676EB">
        <w:t>Access Layer (AL)</w:t>
      </w:r>
      <w:r w:rsidR="00A62EF5">
        <w:t>. As a result,</w:t>
      </w:r>
      <w:r w:rsidR="00E676EB">
        <w:t xml:space="preserve"> all layers are involved in handling </w:t>
      </w:r>
      <w:r w:rsidR="00A62EF5">
        <w:t xml:space="preserve">the </w:t>
      </w:r>
      <w:r w:rsidR="00E676EB">
        <w:t>parameters</w:t>
      </w:r>
      <w:r w:rsidR="00413C92">
        <w:t xml:space="preserve"> for RM</w:t>
      </w:r>
      <w:r w:rsidR="00E676EB">
        <w:t xml:space="preserve">. </w:t>
      </w:r>
      <w:r w:rsidR="00092406">
        <w:t>In th</w:t>
      </w:r>
      <w:r w:rsidR="00D64C5B">
        <w:t xml:space="preserve">e following </w:t>
      </w:r>
      <w:r w:rsidR="004A3FC7">
        <w:t>clause</w:t>
      </w:r>
      <w:r w:rsidR="00413C92">
        <w:t>,</w:t>
      </w:r>
      <w:r w:rsidR="00092406">
        <w:t xml:space="preserve"> </w:t>
      </w:r>
      <w:r w:rsidR="00057A13">
        <w:t>relevant</w:t>
      </w:r>
      <w:r w:rsidR="00D64C5B">
        <w:t xml:space="preserve"> </w:t>
      </w:r>
      <w:r w:rsidR="00A62EF5">
        <w:t>RM</w:t>
      </w:r>
      <w:r w:rsidR="00E676EB">
        <w:t xml:space="preserve"> specific </w:t>
      </w:r>
      <w:r w:rsidR="00D64C5B">
        <w:t>functional and</w:t>
      </w:r>
      <w:r w:rsidR="00057A13">
        <w:t xml:space="preserve"> technical aspects </w:t>
      </w:r>
      <w:r w:rsidR="00A62EF5">
        <w:t>at the different layers are recognized</w:t>
      </w:r>
      <w:r w:rsidR="00413C92">
        <w:t>,</w:t>
      </w:r>
      <w:r w:rsidR="00A62EF5">
        <w:t xml:space="preserve"> and relevant studies </w:t>
      </w:r>
      <w:r w:rsidR="00413C92">
        <w:t xml:space="preserve">are </w:t>
      </w:r>
      <w:r w:rsidR="00A62EF5">
        <w:t xml:space="preserve">identified. </w:t>
      </w:r>
    </w:p>
    <w:p w14:paraId="7208B9DF" w14:textId="1C8FC882" w:rsidR="005C5573" w:rsidRPr="005C5573" w:rsidRDefault="005C5573" w:rsidP="00F140CF">
      <w:pPr>
        <w:pStyle w:val="Heading3"/>
        <w:numPr>
          <w:ilvl w:val="2"/>
          <w:numId w:val="11"/>
        </w:numPr>
        <w:ind w:left="1134"/>
      </w:pPr>
      <w:bookmarkStart w:id="152" w:name="_Ref180049606"/>
      <w:bookmarkStart w:id="153" w:name="_Toc197337003"/>
      <w:r>
        <w:t xml:space="preserve">Channel </w:t>
      </w:r>
      <w:r w:rsidR="006827F6">
        <w:t>Load</w:t>
      </w:r>
      <w:bookmarkEnd w:id="152"/>
      <w:bookmarkEnd w:id="153"/>
    </w:p>
    <w:p w14:paraId="2CD0F92B" w14:textId="0736BAF3" w:rsidR="004F61C2" w:rsidRDefault="004F61C2" w:rsidP="00384AC9">
      <w:r>
        <w:t xml:space="preserve">The </w:t>
      </w:r>
      <w:r w:rsidR="00B913E5">
        <w:t xml:space="preserve">bandwidth </w:t>
      </w:r>
      <w:r>
        <w:t xml:space="preserve">of a channel is always </w:t>
      </w:r>
      <w:r w:rsidR="00F445AD">
        <w:t>limited,</w:t>
      </w:r>
      <w:r>
        <w:t xml:space="preserve"> and </w:t>
      </w:r>
      <w:r w:rsidR="00B913E5">
        <w:t xml:space="preserve">it needs to be </w:t>
      </w:r>
      <w:r>
        <w:t>use</w:t>
      </w:r>
      <w:r w:rsidR="00B913E5">
        <w:t>d</w:t>
      </w:r>
      <w:r>
        <w:t xml:space="preserve"> efficiently</w:t>
      </w:r>
      <w:r w:rsidR="00176A3F">
        <w:t>.</w:t>
      </w:r>
      <w:r w:rsidR="00B913E5">
        <w:t xml:space="preserve"> </w:t>
      </w:r>
      <w:r w:rsidR="00176A3F">
        <w:t xml:space="preserve">This </w:t>
      </w:r>
      <w:r w:rsidR="00B913E5">
        <w:t xml:space="preserve">means maximizing </w:t>
      </w:r>
      <w:r>
        <w:t>the</w:t>
      </w:r>
      <w:r w:rsidR="00B913E5">
        <w:t xml:space="preserve"> data that can be exchanged in such channel</w:t>
      </w:r>
      <w:r w:rsidR="00611F08">
        <w:t xml:space="preserve">. </w:t>
      </w:r>
      <w:r w:rsidR="00413C92">
        <w:t xml:space="preserve">At the same time, </w:t>
      </w:r>
      <w:r w:rsidR="00B913E5">
        <w:t>overusing the channel may cause large interference and high error probability at the receivers</w:t>
      </w:r>
      <w:r w:rsidR="00A62EF5">
        <w:t xml:space="preserve">. As </w:t>
      </w:r>
      <w:r w:rsidR="00B913E5">
        <w:t xml:space="preserve">a </w:t>
      </w:r>
      <w:r w:rsidR="00A62EF5">
        <w:t>result</w:t>
      </w:r>
      <w:r w:rsidR="00B913E5">
        <w:t>,</w:t>
      </w:r>
      <w:r w:rsidR="00A62EF5">
        <w:t xml:space="preserve"> there is a maximum </w:t>
      </w:r>
      <w:r w:rsidR="00B913E5">
        <w:t xml:space="preserve">possible </w:t>
      </w:r>
      <w:r w:rsidR="00A62EF5">
        <w:t>use of the channel</w:t>
      </w:r>
      <w:r w:rsidR="00B913E5">
        <w:t xml:space="preserve"> and approaching it allows to optimally use the resources</w:t>
      </w:r>
      <w:r w:rsidR="00A62EF5">
        <w:t>. How this is handled</w:t>
      </w:r>
      <w:r w:rsidR="00B913E5">
        <w:t>,</w:t>
      </w:r>
      <w:r w:rsidR="00A62EF5">
        <w:t xml:space="preserve"> depend</w:t>
      </w:r>
      <w:r w:rsidR="00B913E5">
        <w:t>s</w:t>
      </w:r>
      <w:r w:rsidR="00A62EF5">
        <w:t xml:space="preserve"> on the channel management principle </w:t>
      </w:r>
      <w:r w:rsidR="00413C92">
        <w:t xml:space="preserve">that is </w:t>
      </w:r>
      <w:r w:rsidR="00A62EF5">
        <w:t xml:space="preserve">used. </w:t>
      </w:r>
    </w:p>
    <w:p w14:paraId="179B0899" w14:textId="4664ADD1" w:rsidR="00176A3F" w:rsidRDefault="008B4114" w:rsidP="00384AC9">
      <w:r>
        <w:t>T</w:t>
      </w:r>
      <w:r w:rsidR="00B913E5">
        <w:t xml:space="preserve">he specific </w:t>
      </w:r>
      <w:r w:rsidR="00176A3F">
        <w:t xml:space="preserve">split </w:t>
      </w:r>
      <w:r w:rsidR="00B913E5">
        <w:t xml:space="preserve">of radio resources, which can be </w:t>
      </w:r>
      <w:r w:rsidR="001426D1">
        <w:t>in the</w:t>
      </w:r>
      <w:r w:rsidR="002348CA">
        <w:t xml:space="preserve"> frequency</w:t>
      </w:r>
      <w:r w:rsidR="00176A3F">
        <w:t xml:space="preserve">, </w:t>
      </w:r>
      <w:r w:rsidR="002348CA">
        <w:t>time</w:t>
      </w:r>
      <w:r w:rsidR="00176A3F">
        <w:t>, space or code</w:t>
      </w:r>
      <w:r w:rsidR="002348CA">
        <w:t xml:space="preserve"> </w:t>
      </w:r>
      <w:r w:rsidR="001426D1">
        <w:t xml:space="preserve">or </w:t>
      </w:r>
      <w:r w:rsidR="00176A3F">
        <w:t>a combination of these splitting principles</w:t>
      </w:r>
      <w:r w:rsidR="002348CA">
        <w:t>, is technology specific</w:t>
      </w:r>
      <w:r w:rsidR="001426D1">
        <w:t xml:space="preserve">. </w:t>
      </w:r>
    </w:p>
    <w:p w14:paraId="6ABF1983" w14:textId="17E44DD7" w:rsidR="00D0795C" w:rsidRPr="00384AC9" w:rsidRDefault="00176A3F" w:rsidP="00D0795C">
      <w:r>
        <w:t>I</w:t>
      </w:r>
      <w:r w:rsidR="001426D1">
        <w:t xml:space="preserve">n ITS-G5 </w:t>
      </w:r>
      <w:r>
        <w:t xml:space="preserve">based on IEEE802.11 technologies </w:t>
      </w:r>
      <w:r w:rsidR="001426D1">
        <w:t xml:space="preserve">resources are </w:t>
      </w:r>
      <w:r>
        <w:t xml:space="preserve">split </w:t>
      </w:r>
      <w:r w:rsidR="001426D1">
        <w:t xml:space="preserve">in the time domain with a listen-before-talk mechanism, whereas in LTE-V2X and </w:t>
      </w:r>
      <w:r>
        <w:t>5G</w:t>
      </w:r>
      <w:r w:rsidR="001426D1">
        <w:t>NR-V2X sidelink there is a grid of time and frequency slots with</w:t>
      </w:r>
      <w:r w:rsidR="00592760">
        <w:t xml:space="preserve"> synchronous access and</w:t>
      </w:r>
      <w:r w:rsidR="001426D1">
        <w:t xml:space="preserve"> scheduling procedures.</w:t>
      </w:r>
      <w:r w:rsidR="00FB13FF">
        <w:t xml:space="preserve"> </w:t>
      </w:r>
      <w:r w:rsidR="001426D1">
        <w:t xml:space="preserve">In </w:t>
      </w:r>
      <w:r w:rsidR="00D0795C">
        <w:t>ITS Release 1</w:t>
      </w:r>
      <w:r w:rsidR="001B0B6B">
        <w:t xml:space="preserve">, TR 101 607 </w:t>
      </w:r>
      <w:r w:rsidR="001B0B6B">
        <w:fldChar w:fldCharType="begin"/>
      </w:r>
      <w:r w:rsidR="001B0B6B">
        <w:instrText xml:space="preserve"> REF ETSI_TR101607 \h </w:instrText>
      </w:r>
      <w:r w:rsidR="001B0B6B">
        <w:fldChar w:fldCharType="separate"/>
      </w:r>
      <w:r w:rsidR="001B0B6B" w:rsidRPr="00913ABF">
        <w:t>[i.</w:t>
      </w:r>
      <w:r w:rsidR="001B0B6B">
        <w:t>1</w:t>
      </w:r>
      <w:r w:rsidR="001B0B6B" w:rsidRPr="00913ABF">
        <w:t>]</w:t>
      </w:r>
      <w:r w:rsidR="001B0B6B">
        <w:fldChar w:fldCharType="end"/>
      </w:r>
      <w:r w:rsidR="001B0B6B">
        <w:t xml:space="preserve">, </w:t>
      </w:r>
      <w:r w:rsidR="00D0795C">
        <w:t xml:space="preserve">there are separate mechanisms </w:t>
      </w:r>
      <w:r w:rsidR="001B0B6B">
        <w:t xml:space="preserve">identified </w:t>
      </w:r>
      <w:r w:rsidR="00D0795C">
        <w:t>for ITS-G5 and for LTE-</w:t>
      </w:r>
      <w:r w:rsidR="007976BB">
        <w:t>V2X</w:t>
      </w:r>
      <w:r w:rsidR="00592760">
        <w:t xml:space="preserve"> sidelink</w:t>
      </w:r>
      <w:r w:rsidR="00D0795C">
        <w:t xml:space="preserve">. </w:t>
      </w:r>
      <w:r w:rsidR="001B0B6B">
        <w:t>For ITS-G5 the mechanism is specified by several ETSI specifications and for LTE</w:t>
      </w:r>
      <w:r w:rsidR="00592760">
        <w:t>-</w:t>
      </w:r>
      <w:r w:rsidR="001B0B6B">
        <w:t>V2</w:t>
      </w:r>
      <w:r w:rsidR="007976BB">
        <w:t>X</w:t>
      </w:r>
      <w:r w:rsidR="00592760">
        <w:t xml:space="preserve"> sidelink</w:t>
      </w:r>
      <w:r w:rsidR="001B0B6B">
        <w:t xml:space="preserve"> by</w:t>
      </w:r>
      <w:r w:rsidR="00855AE4">
        <w:t xml:space="preserve"> ETSI and</w:t>
      </w:r>
      <w:r w:rsidR="001B0B6B">
        <w:t xml:space="preserve"> 3GPP</w:t>
      </w:r>
      <w:r w:rsidR="00034F00">
        <w:t xml:space="preserve"> specifications</w:t>
      </w:r>
      <w:r w:rsidR="001B0B6B">
        <w:t>.</w:t>
      </w:r>
      <w:r w:rsidR="00D0795C">
        <w:t xml:space="preserve"> </w:t>
      </w:r>
    </w:p>
    <w:p w14:paraId="28659F22" w14:textId="77777777" w:rsidR="003E1F79" w:rsidRDefault="001426D1" w:rsidP="00384AC9">
      <w:r>
        <w:t xml:space="preserve">In </w:t>
      </w:r>
      <w:r w:rsidR="001B0B6B">
        <w:t>Release 2</w:t>
      </w:r>
      <w:r>
        <w:t xml:space="preserve">, </w:t>
      </w:r>
      <w:r w:rsidR="001B0B6B">
        <w:t>a</w:t>
      </w:r>
      <w:r w:rsidR="00600D84">
        <w:t>n</w:t>
      </w:r>
      <w:r w:rsidR="001B0B6B">
        <w:t xml:space="preserve"> </w:t>
      </w:r>
      <w:r w:rsidR="00D84D23">
        <w:t xml:space="preserve">access layer </w:t>
      </w:r>
      <w:r w:rsidR="001B0B6B">
        <w:t xml:space="preserve">technology agnostic </w:t>
      </w:r>
      <w:r>
        <w:t xml:space="preserve">solution </w:t>
      </w:r>
      <w:r w:rsidR="003E1F79">
        <w:t xml:space="preserve">at the higher layers </w:t>
      </w:r>
      <w:r>
        <w:t>needs to be defined</w:t>
      </w:r>
      <w:r w:rsidRPr="001426D1">
        <w:t xml:space="preserve"> </w:t>
      </w:r>
      <w:r>
        <w:t xml:space="preserve">to facilitate the use of various </w:t>
      </w:r>
      <w:r w:rsidR="00A73C2D">
        <w:t xml:space="preserve">access layer </w:t>
      </w:r>
      <w:r>
        <w:t>technologies in the ITS spectrum bands. This implies the need to abstract the definition of used and available resources from the access layer to the layers above.</w:t>
      </w:r>
      <w:r w:rsidR="003E1F79">
        <w:t xml:space="preserve"> </w:t>
      </w:r>
    </w:p>
    <w:p w14:paraId="569AAD5E" w14:textId="77777777" w:rsidR="003E1F79" w:rsidRDefault="003E1F79" w:rsidP="00384AC9">
      <w:r>
        <w:t>The measurement of the channel occupation and the evaluation of the available resources remain anyway technology dependent and is therefore performed in the access layer, defined separately per each technology.</w:t>
      </w:r>
      <w:r w:rsidR="001426D1">
        <w:t xml:space="preserve"> </w:t>
      </w:r>
    </w:p>
    <w:p w14:paraId="04D6DEFF" w14:textId="786FFEFF" w:rsidR="001C3FB3" w:rsidRDefault="00590B3D" w:rsidP="00384AC9">
      <w:r>
        <w:t>When looking at the single channel and access technology, it is important to note that besides the inter ITS interference coming from ITS frames using the reference ITS access technology (ITS access technology used by the measuring ITS-S), extra ITS interference must be taken into account. When this external interference is above a given threshold it might also contribute to the channel load. Interference generated by a competing ITS technology can also be part of this extra (inter) ITS interference since it cannot be recognized by the receiver as useful signal. In the future, a differentiation between intra and extra ITS signal and interference might be required having in mind that ITS is operating in a shared environment.</w:t>
      </w:r>
    </w:p>
    <w:p w14:paraId="534939DB" w14:textId="4CD3182D" w:rsidR="00547FBD" w:rsidRDefault="00547FBD" w:rsidP="00F140CF">
      <w:pPr>
        <w:pStyle w:val="Heading3"/>
        <w:numPr>
          <w:ilvl w:val="2"/>
          <w:numId w:val="11"/>
        </w:numPr>
        <w:ind w:left="1134"/>
      </w:pPr>
      <w:bookmarkStart w:id="154" w:name="_Toc197337004"/>
      <w:bookmarkStart w:id="155" w:name="_Ref179119230"/>
      <w:bookmarkStart w:id="156" w:name="_Ref179118494"/>
      <w:r>
        <w:t>Access Layer operation</w:t>
      </w:r>
      <w:bookmarkEnd w:id="154"/>
      <w:r>
        <w:t xml:space="preserve"> </w:t>
      </w:r>
      <w:bookmarkEnd w:id="155"/>
    </w:p>
    <w:p w14:paraId="7A206630" w14:textId="72652A6A" w:rsidR="00593979" w:rsidRDefault="00593979" w:rsidP="00D64C5B">
      <w:r>
        <w:t xml:space="preserve">The </w:t>
      </w:r>
      <w:r w:rsidR="006737D1">
        <w:t>Access Layer (AL)</w:t>
      </w:r>
      <w:r>
        <w:t xml:space="preserve"> is composed of the </w:t>
      </w:r>
      <w:r w:rsidR="0072739D">
        <w:t>M</w:t>
      </w:r>
      <w:r w:rsidR="00D510E1">
        <w:t xml:space="preserve">edium </w:t>
      </w:r>
      <w:r w:rsidR="0072739D">
        <w:t>A</w:t>
      </w:r>
      <w:r w:rsidR="00D510E1">
        <w:t xml:space="preserve">ccess </w:t>
      </w:r>
      <w:r w:rsidR="0072739D">
        <w:t>C</w:t>
      </w:r>
      <w:r w:rsidR="00D510E1">
        <w:t>ontrol (</w:t>
      </w:r>
      <w:r>
        <w:t>MAC</w:t>
      </w:r>
      <w:r w:rsidR="00D510E1">
        <w:t>)</w:t>
      </w:r>
      <w:r>
        <w:t xml:space="preserve"> and Physical sub-layers and handles the radio spectrum access </w:t>
      </w:r>
      <w:r w:rsidR="00D510E1">
        <w:t xml:space="preserve">for the transmission of </w:t>
      </w:r>
      <w:r>
        <w:t>frames when possibl</w:t>
      </w:r>
      <w:r w:rsidR="00D510E1">
        <w:t>e</w:t>
      </w:r>
      <w:r>
        <w:t>. Higher layers can provide data packets to the access layer and the access layer will decide whether or not to send frames</w:t>
      </w:r>
      <w:r w:rsidR="00D510E1">
        <w:t>, and when to transmit them</w:t>
      </w:r>
      <w:r w:rsidR="003B000F">
        <w:t xml:space="preserve"> by the mechanisms of the media access protocol</w:t>
      </w:r>
      <w:r>
        <w:t xml:space="preserve">. </w:t>
      </w:r>
    </w:p>
    <w:p w14:paraId="51713718" w14:textId="7B966622" w:rsidR="000372FC" w:rsidRDefault="000372FC" w:rsidP="000372FC">
      <w:r>
        <w:t>With the aim to identify the occupation of the channel, in many</w:t>
      </w:r>
      <w:r w:rsidR="00034F00">
        <w:t xml:space="preserve"> systems </w:t>
      </w:r>
      <w:r>
        <w:t xml:space="preserve">including </w:t>
      </w:r>
      <w:r w:rsidR="00034F00">
        <w:t xml:space="preserve">ITS-G5, </w:t>
      </w:r>
      <w:r w:rsidR="00D510E1">
        <w:t>the</w:t>
      </w:r>
      <w:r w:rsidR="000F1FC2">
        <w:t xml:space="preserve"> </w:t>
      </w:r>
      <w:r>
        <w:t>Channel Busy Ratio (</w:t>
      </w:r>
      <w:r w:rsidR="00034F00">
        <w:t>CBR</w:t>
      </w:r>
      <w:r>
        <w:t>)</w:t>
      </w:r>
      <w:r w:rsidR="00034F00">
        <w:t xml:space="preserve"> </w:t>
      </w:r>
      <w:r>
        <w:t xml:space="preserve">is a metric derived from measurements which </w:t>
      </w:r>
      <w:r w:rsidR="00593979">
        <w:t xml:space="preserve">gather information about the load in the channel. </w:t>
      </w:r>
      <w:r w:rsidR="000F1FC2">
        <w:t xml:space="preserve">This information can be provided to higher layers to inform them about the state of the channel from the local perspective of the ITS-S specific transceiver. </w:t>
      </w:r>
      <w:r w:rsidR="00D510E1">
        <w:t xml:space="preserve">The measurement performed locally, </w:t>
      </w:r>
      <w:r w:rsidR="000F1FC2">
        <w:t>Local CBR (LCBR)</w:t>
      </w:r>
      <w:r w:rsidR="00D510E1">
        <w:t>,</w:t>
      </w:r>
      <w:r w:rsidR="000F1FC2">
        <w:t xml:space="preserve"> can </w:t>
      </w:r>
      <w:r w:rsidR="00D510E1">
        <w:t xml:space="preserve">also </w:t>
      </w:r>
      <w:r w:rsidR="000F1FC2">
        <w:t xml:space="preserve">be </w:t>
      </w:r>
      <w:r w:rsidR="00D510E1">
        <w:t>shared through</w:t>
      </w:r>
      <w:r w:rsidR="000F1FC2">
        <w:t xml:space="preserve"> higher layers</w:t>
      </w:r>
      <w:r w:rsidR="00D510E1">
        <w:t xml:space="preserve"> with the neighbouring stations to improve awareness of channel use, as better discussed later in </w:t>
      </w:r>
      <w:r w:rsidR="004A3FC7">
        <w:t>clause</w:t>
      </w:r>
      <w:r>
        <w:t xml:space="preserve"> </w:t>
      </w:r>
      <w:r w:rsidR="00D510E1">
        <w:fldChar w:fldCharType="begin"/>
      </w:r>
      <w:r w:rsidR="00D510E1">
        <w:instrText xml:space="preserve"> REF _Ref184288862 \r \h </w:instrText>
      </w:r>
      <w:r w:rsidR="00D510E1">
        <w:fldChar w:fldCharType="separate"/>
      </w:r>
      <w:r>
        <w:t>4.4.5</w:t>
      </w:r>
      <w:r w:rsidR="00D510E1">
        <w:fldChar w:fldCharType="end"/>
      </w:r>
      <w:r w:rsidR="000F1FC2">
        <w:t>.</w:t>
      </w:r>
      <w:r>
        <w:t xml:space="preserve"> </w:t>
      </w:r>
      <w:r w:rsidR="006F6780">
        <w:t xml:space="preserve">In </w:t>
      </w:r>
      <w:r w:rsidR="003E1F79">
        <w:t xml:space="preserve">Release </w:t>
      </w:r>
      <w:r w:rsidR="006F6780">
        <w:t xml:space="preserve">1, the CBR was directly related to a </w:t>
      </w:r>
      <w:r w:rsidR="000F1FC2">
        <w:t>system CBR limit</w:t>
      </w:r>
      <w:r w:rsidR="006F6780">
        <w:t xml:space="preserve"> to control the amount of data that could be sent</w:t>
      </w:r>
      <w:r w:rsidR="000F1FC2">
        <w:t xml:space="preserve">. </w:t>
      </w:r>
      <w:r w:rsidR="006F6780">
        <w:t xml:space="preserve">The validity of such limit and the solutions defined in Release 1 to guarantee the respect of such limits are further elaborated in </w:t>
      </w:r>
      <w:r w:rsidR="004A3FC7">
        <w:t>clause</w:t>
      </w:r>
      <w:r>
        <w:t xml:space="preserve"> </w:t>
      </w:r>
      <w:r w:rsidR="006F6780">
        <w:fldChar w:fldCharType="begin"/>
      </w:r>
      <w:r w:rsidR="006F6780">
        <w:instrText xml:space="preserve"> REF _Ref184289366 \r \h </w:instrText>
      </w:r>
      <w:r w:rsidR="006F6780">
        <w:fldChar w:fldCharType="separate"/>
      </w:r>
      <w:r w:rsidR="006F6780">
        <w:t>5</w:t>
      </w:r>
      <w:r w:rsidR="006F6780">
        <w:fldChar w:fldCharType="end"/>
      </w:r>
      <w:r w:rsidR="006F6780">
        <w:t>.</w:t>
      </w:r>
    </w:p>
    <w:p w14:paraId="65DA7F7D" w14:textId="77777777" w:rsidR="00D64C5B" w:rsidRDefault="00D64C5B" w:rsidP="00F140CF">
      <w:pPr>
        <w:pStyle w:val="Heading3"/>
        <w:numPr>
          <w:ilvl w:val="2"/>
          <w:numId w:val="11"/>
        </w:numPr>
        <w:ind w:left="1134"/>
      </w:pPr>
      <w:bookmarkStart w:id="157" w:name="_Toc180056828"/>
      <w:bookmarkStart w:id="158" w:name="_Ref180050892"/>
      <w:bookmarkStart w:id="159" w:name="_Toc197337005"/>
      <w:bookmarkStart w:id="160" w:name="_Ref179118912"/>
      <w:bookmarkEnd w:id="157"/>
      <w:r>
        <w:t>Adjacent channel</w:t>
      </w:r>
      <w:bookmarkEnd w:id="158"/>
      <w:bookmarkEnd w:id="159"/>
    </w:p>
    <w:p w14:paraId="674DDFC4" w14:textId="179D7D98" w:rsidR="00D64C5B" w:rsidRPr="00F140CF" w:rsidRDefault="00361359" w:rsidP="00EC344C">
      <w:pPr>
        <w:rPr>
          <w:lang w:val="en-US"/>
        </w:rPr>
      </w:pPr>
      <w:r>
        <w:t>T</w:t>
      </w:r>
      <w:r w:rsidR="00013DDA">
        <w:t xml:space="preserve">he MCO report ETSI TR 103 439 </w:t>
      </w:r>
      <w:r w:rsidR="00013DDA">
        <w:fldChar w:fldCharType="begin"/>
      </w:r>
      <w:r w:rsidR="00013DDA">
        <w:instrText xml:space="preserve"> REF ETSI_TR103439 \h </w:instrText>
      </w:r>
      <w:r w:rsidR="00013DDA">
        <w:fldChar w:fldCharType="separate"/>
      </w:r>
      <w:r w:rsidR="00013DDA" w:rsidRPr="00913ABF">
        <w:t>[i.</w:t>
      </w:r>
      <w:r w:rsidR="00013DDA">
        <w:t>1</w:t>
      </w:r>
      <w:r w:rsidR="00013DDA" w:rsidRPr="00913ABF">
        <w:t>]</w:t>
      </w:r>
      <w:r w:rsidR="00013DDA">
        <w:fldChar w:fldCharType="end"/>
      </w:r>
      <w:r w:rsidR="00013DDA">
        <w:t xml:space="preserve"> investigated the influence of </w:t>
      </w:r>
      <w:r w:rsidR="007F5367">
        <w:t xml:space="preserve">operating information dissemination in adjacent channels and </w:t>
      </w:r>
      <w:r w:rsidR="0027479C">
        <w:t>concluded</w:t>
      </w:r>
      <w:r w:rsidR="007F5367">
        <w:t xml:space="preserve"> that </w:t>
      </w:r>
      <w:r w:rsidR="006F6780">
        <w:t xml:space="preserve">the traffic in one channel affects the resources available in an adjacent one. </w:t>
      </w:r>
      <w:r w:rsidR="006C2A2E">
        <w:t xml:space="preserve">The </w:t>
      </w:r>
      <w:r w:rsidR="00BB5102">
        <w:t>result</w:t>
      </w:r>
      <w:r w:rsidR="006C2A2E">
        <w:t xml:space="preserve"> also show that the second adjacent channel can be neglected. </w:t>
      </w:r>
      <w:r w:rsidR="006F6780">
        <w:t xml:space="preserve">This means that the maximum occupation allowed in one channel may affect the performance </w:t>
      </w:r>
      <w:r w:rsidR="006C2A2E">
        <w:t xml:space="preserve">and thus the maximum occupation </w:t>
      </w:r>
      <w:r w:rsidR="006F6780">
        <w:t xml:space="preserve">of the adjacent </w:t>
      </w:r>
      <w:r w:rsidR="006F6780" w:rsidRPr="00F140CF">
        <w:rPr>
          <w:lang w:val="en-US"/>
        </w:rPr>
        <w:t>ones. T</w:t>
      </w:r>
      <w:r w:rsidR="007F5367" w:rsidRPr="00F140CF">
        <w:rPr>
          <w:lang w:val="en-US"/>
        </w:rPr>
        <w:t xml:space="preserve">hese </w:t>
      </w:r>
      <w:r w:rsidR="006F6780" w:rsidRPr="00F140CF">
        <w:rPr>
          <w:lang w:val="en-US"/>
        </w:rPr>
        <w:t xml:space="preserve">aspects are further </w:t>
      </w:r>
      <w:r w:rsidR="007F5367" w:rsidRPr="00F140CF">
        <w:rPr>
          <w:lang w:val="en-US"/>
        </w:rPr>
        <w:t>investigated in</w:t>
      </w:r>
      <w:r w:rsidR="006F6780" w:rsidRPr="00F140CF">
        <w:rPr>
          <w:lang w:val="en-US"/>
        </w:rPr>
        <w:t xml:space="preserve"> </w:t>
      </w:r>
      <w:r w:rsidR="004A3FC7" w:rsidRPr="00F140CF">
        <w:rPr>
          <w:lang w:val="en-US"/>
        </w:rPr>
        <w:t>clause</w:t>
      </w:r>
      <w:r w:rsidR="006F6780" w:rsidRPr="00F140CF">
        <w:rPr>
          <w:lang w:val="en-US"/>
        </w:rPr>
        <w:t xml:space="preserve"> </w:t>
      </w:r>
      <w:r w:rsidR="00CD4321" w:rsidRPr="00F140CF">
        <w:rPr>
          <w:lang w:val="en-US"/>
        </w:rPr>
        <w:fldChar w:fldCharType="begin"/>
      </w:r>
      <w:r w:rsidR="00CD4321" w:rsidRPr="00F140CF">
        <w:rPr>
          <w:lang w:val="en-US"/>
        </w:rPr>
        <w:instrText xml:space="preserve"> REF _Ref194331019 \r \h </w:instrText>
      </w:r>
      <w:r w:rsidR="00CD4321" w:rsidRPr="00F140CF">
        <w:rPr>
          <w:lang w:val="en-US"/>
        </w:rPr>
      </w:r>
      <w:r w:rsidR="00CD4321" w:rsidRPr="00F140CF">
        <w:rPr>
          <w:lang w:val="en-US"/>
        </w:rPr>
        <w:fldChar w:fldCharType="separate"/>
      </w:r>
      <w:r w:rsidR="00CD4321" w:rsidRPr="00F140CF">
        <w:rPr>
          <w:lang w:val="en-US"/>
        </w:rPr>
        <w:t>5.4</w:t>
      </w:r>
      <w:r w:rsidR="00CD4321" w:rsidRPr="00F140CF">
        <w:rPr>
          <w:lang w:val="en-US"/>
        </w:rPr>
        <w:fldChar w:fldCharType="end"/>
      </w:r>
      <w:r w:rsidR="006F6780" w:rsidRPr="00F140CF">
        <w:rPr>
          <w:lang w:val="en-US"/>
        </w:rPr>
        <w:t>.</w:t>
      </w:r>
      <w:r w:rsidR="00D64C5B" w:rsidRPr="00F140CF">
        <w:rPr>
          <w:lang w:val="en-US"/>
        </w:rPr>
        <w:t xml:space="preserve"> </w:t>
      </w:r>
      <w:bookmarkEnd w:id="160"/>
    </w:p>
    <w:p w14:paraId="2707D894" w14:textId="7C629AD9" w:rsidR="00547FBD" w:rsidRDefault="00547FBD" w:rsidP="00F140CF">
      <w:pPr>
        <w:pStyle w:val="Heading3"/>
        <w:numPr>
          <w:ilvl w:val="2"/>
          <w:numId w:val="11"/>
        </w:numPr>
        <w:ind w:left="1134"/>
      </w:pPr>
      <w:bookmarkStart w:id="161" w:name="_Ref184288862"/>
      <w:bookmarkStart w:id="162" w:name="_Toc197337006"/>
      <w:bookmarkStart w:id="163" w:name="_Ref179119612"/>
      <w:r>
        <w:t>Network</w:t>
      </w:r>
      <w:r w:rsidR="00361359">
        <w:t>ing</w:t>
      </w:r>
      <w:r>
        <w:t xml:space="preserve"> &amp; Transport Layer operation</w:t>
      </w:r>
      <w:bookmarkEnd w:id="161"/>
      <w:bookmarkEnd w:id="162"/>
      <w:r>
        <w:t xml:space="preserve"> </w:t>
      </w:r>
      <w:bookmarkEnd w:id="163"/>
    </w:p>
    <w:p w14:paraId="4DED4F01" w14:textId="22E1DB07" w:rsidR="001D70C7" w:rsidRPr="001D70C7" w:rsidRDefault="00361359" w:rsidP="00EC344C">
      <w:r>
        <w:t xml:space="preserve">The basic operation of the Networking &amp; Transport Layer (NL) is responsible for directing packets to the appropriate radio configuration at the AL. In standard ICT it is the layer where it is decided what AL configuration is used to route packets to. For some ITS </w:t>
      </w:r>
      <w:r w:rsidR="009F471E">
        <w:t xml:space="preserve">ecosystems </w:t>
      </w:r>
      <w:r>
        <w:t xml:space="preserve">(see TR 103 903 </w:t>
      </w:r>
      <w:r>
        <w:fldChar w:fldCharType="begin"/>
      </w:r>
      <w:r>
        <w:instrText xml:space="preserve"> REF ETSI_TR103903 \h </w:instrText>
      </w:r>
      <w:r>
        <w:fldChar w:fldCharType="separate"/>
      </w:r>
      <w:r w:rsidRPr="00913ABF">
        <w:t>[i.</w:t>
      </w:r>
      <w:r>
        <w:t>4</w:t>
      </w:r>
      <w:r w:rsidRPr="00913ABF">
        <w:t>]</w:t>
      </w:r>
      <w:r>
        <w:fldChar w:fldCharType="end"/>
      </w:r>
      <w:r>
        <w:t xml:space="preserve">) there is no routing at the </w:t>
      </w:r>
      <w:r w:rsidR="001B057D">
        <w:t>NL. According to Release 1, the NL can only be used for forwarding packets within a specific area</w:t>
      </w:r>
      <w:r w:rsidR="006737D1">
        <w:t>. In addition, Release 1 defines mechanism to share the</w:t>
      </w:r>
      <w:r w:rsidR="001B057D">
        <w:t xml:space="preserve"> CBR </w:t>
      </w:r>
      <w:r w:rsidR="006737D1">
        <w:t xml:space="preserve">measured locally by the </w:t>
      </w:r>
      <w:r w:rsidR="001B057D">
        <w:t xml:space="preserve">ITS-G5 </w:t>
      </w:r>
      <w:r w:rsidR="006737D1">
        <w:t>with</w:t>
      </w:r>
      <w:r w:rsidR="001B057D">
        <w:t xml:space="preserve"> neighbouring ITS-Ss</w:t>
      </w:r>
      <w:r w:rsidR="006737D1">
        <w:t>, with the scope to have</w:t>
      </w:r>
      <w:r w:rsidR="001B057D">
        <w:t xml:space="preserve"> a better estimation of </w:t>
      </w:r>
      <w:r w:rsidR="006737D1">
        <w:t xml:space="preserve">what is called </w:t>
      </w:r>
      <w:r w:rsidR="001B057D">
        <w:t xml:space="preserve">Global CBR (GCBR). For </w:t>
      </w:r>
      <w:r w:rsidR="00A66003">
        <w:t xml:space="preserve">access technologies </w:t>
      </w:r>
      <w:r w:rsidR="001B057D">
        <w:t>this could be realized differently. As any possible improvement of NL related standards depend on the improvements realized on other layers</w:t>
      </w:r>
      <w:r w:rsidR="006737D1">
        <w:t>,</w:t>
      </w:r>
      <w:r w:rsidR="001B057D">
        <w:t xml:space="preserve"> at present no investigations are realised</w:t>
      </w:r>
      <w:r w:rsidR="006737D1">
        <w:t xml:space="preserve"> at the NL,</w:t>
      </w:r>
      <w:r w:rsidR="001B057D">
        <w:t xml:space="preserve"> but </w:t>
      </w:r>
      <w:r w:rsidR="006737D1">
        <w:t xml:space="preserve">may be </w:t>
      </w:r>
      <w:r w:rsidR="001B057D">
        <w:t>added in an update of this report.</w:t>
      </w:r>
    </w:p>
    <w:p w14:paraId="7A24C964" w14:textId="495A9C26" w:rsidR="00547FBD" w:rsidRDefault="00EB6A21" w:rsidP="00F140CF">
      <w:pPr>
        <w:pStyle w:val="Heading3"/>
        <w:numPr>
          <w:ilvl w:val="2"/>
          <w:numId w:val="11"/>
        </w:numPr>
        <w:ind w:left="1134"/>
      </w:pPr>
      <w:bookmarkStart w:id="164" w:name="_Ref179120082"/>
      <w:bookmarkStart w:id="165" w:name="_Toc197337007"/>
      <w:r>
        <w:t xml:space="preserve">Applications, </w:t>
      </w:r>
      <w:r w:rsidR="00547FBD">
        <w:t>Faci</w:t>
      </w:r>
      <w:r w:rsidR="009A2198">
        <w:t>l</w:t>
      </w:r>
      <w:r w:rsidR="00547FBD">
        <w:t xml:space="preserve">ities Layer </w:t>
      </w:r>
      <w:r w:rsidR="00051449">
        <w:t xml:space="preserve">and </w:t>
      </w:r>
      <w:bookmarkEnd w:id="164"/>
      <w:r>
        <w:t xml:space="preserve">Resource </w:t>
      </w:r>
      <w:r w:rsidR="00391A61">
        <w:t>M</w:t>
      </w:r>
      <w:r>
        <w:t>anagement</w:t>
      </w:r>
      <w:bookmarkEnd w:id="165"/>
    </w:p>
    <w:bookmarkEnd w:id="156"/>
    <w:p w14:paraId="5CBCF1FF" w14:textId="542B08A8" w:rsidR="00D414BD" w:rsidRDefault="00E02EE7" w:rsidP="001B0B6B">
      <w:r>
        <w:t xml:space="preserve">At the Facilities </w:t>
      </w:r>
      <w:r w:rsidR="006737D1">
        <w:t xml:space="preserve">Layer (FL), </w:t>
      </w:r>
      <w:r>
        <w:t>the timely var</w:t>
      </w:r>
      <w:r w:rsidR="00A721E0">
        <w:t>ying</w:t>
      </w:r>
      <w:r>
        <w:t xml:space="preserve"> spectral </w:t>
      </w:r>
      <w:r w:rsidR="009F471E">
        <w:t xml:space="preserve">resource </w:t>
      </w:r>
      <w:r>
        <w:t xml:space="preserve">capabilities come together with the timely </w:t>
      </w:r>
      <w:r w:rsidR="00A721E0">
        <w:t xml:space="preserve">changing </w:t>
      </w:r>
      <w:r>
        <w:t xml:space="preserve">functional requirements of applications and ITS-S services. As identified in the </w:t>
      </w:r>
      <w:r w:rsidR="00D64C5B">
        <w:t xml:space="preserve">Multi-Channel Operation (MCO) </w:t>
      </w:r>
      <w:r>
        <w:t xml:space="preserve">concept study </w:t>
      </w:r>
      <w:r w:rsidR="00D64C5B">
        <w:t xml:space="preserve">in the ETSI TR 103 439 </w:t>
      </w:r>
      <w:r w:rsidR="00A721E0">
        <w:fldChar w:fldCharType="begin"/>
      </w:r>
      <w:r w:rsidR="00A721E0">
        <w:instrText xml:space="preserve"> REF ETSI_TR103439 \h </w:instrText>
      </w:r>
      <w:r w:rsidR="00A721E0">
        <w:fldChar w:fldCharType="separate"/>
      </w:r>
      <w:r w:rsidR="00A721E0" w:rsidRPr="00913ABF">
        <w:t>[i.</w:t>
      </w:r>
      <w:r w:rsidR="00A721E0">
        <w:t>1</w:t>
      </w:r>
      <w:r w:rsidR="00A721E0" w:rsidRPr="00913ABF">
        <w:t>]</w:t>
      </w:r>
      <w:r w:rsidR="00A721E0">
        <w:fldChar w:fldCharType="end"/>
      </w:r>
      <w:r w:rsidR="00A721E0">
        <w:t xml:space="preserve">, applications </w:t>
      </w:r>
      <w:r w:rsidR="00391A61">
        <w:t xml:space="preserve">do not </w:t>
      </w:r>
      <w:r w:rsidR="00A721E0">
        <w:t xml:space="preserve">have </w:t>
      </w:r>
      <w:r w:rsidR="00391A61">
        <w:t xml:space="preserve">any </w:t>
      </w:r>
      <w:r w:rsidR="00A721E0">
        <w:t>not</w:t>
      </w:r>
      <w:r w:rsidR="00391A61">
        <w:t>ion</w:t>
      </w:r>
      <w:r w:rsidR="00A721E0">
        <w:t xml:space="preserve"> of </w:t>
      </w:r>
      <w:r w:rsidR="00391A61">
        <w:t xml:space="preserve">the existence of </w:t>
      </w:r>
      <w:r w:rsidR="00A721E0">
        <w:t xml:space="preserve">other applications and </w:t>
      </w:r>
      <w:r w:rsidR="00391A61">
        <w:t>the</w:t>
      </w:r>
      <w:r w:rsidR="00380496">
        <w:t>ir</w:t>
      </w:r>
      <w:r w:rsidR="00391A61">
        <w:t xml:space="preserve"> communication needs, </w:t>
      </w:r>
      <w:r w:rsidR="00A721E0">
        <w:t xml:space="preserve">therefore </w:t>
      </w:r>
      <w:r w:rsidR="005D172D">
        <w:t xml:space="preserve">the </w:t>
      </w:r>
      <w:r w:rsidR="00A66003">
        <w:t>Resource Management</w:t>
      </w:r>
      <w:r w:rsidR="00C15320">
        <w:t xml:space="preserve"> (RM)</w:t>
      </w:r>
      <w:r w:rsidR="00A66003">
        <w:t xml:space="preserve"> (MCO </w:t>
      </w:r>
      <w:r w:rsidR="00A721E0">
        <w:t>management</w:t>
      </w:r>
      <w:r w:rsidR="00A66003">
        <w:t xml:space="preserve"> in the ETSI TR 103 439 </w:t>
      </w:r>
      <w:r w:rsidR="00A66003">
        <w:fldChar w:fldCharType="begin"/>
      </w:r>
      <w:r w:rsidR="00A66003">
        <w:instrText xml:space="preserve"> REF ETSI_TR103439 \h </w:instrText>
      </w:r>
      <w:r w:rsidR="00A66003">
        <w:fldChar w:fldCharType="separate"/>
      </w:r>
      <w:r w:rsidR="00A66003" w:rsidRPr="00913ABF">
        <w:t>[i.</w:t>
      </w:r>
      <w:r w:rsidR="00A66003">
        <w:t>1</w:t>
      </w:r>
      <w:r w:rsidR="00A66003" w:rsidRPr="00913ABF">
        <w:t>]</w:t>
      </w:r>
      <w:r w:rsidR="00A66003">
        <w:fldChar w:fldCharType="end"/>
      </w:r>
      <w:r w:rsidR="00A66003">
        <w:t>)</w:t>
      </w:r>
      <w:r w:rsidR="00A721E0">
        <w:t xml:space="preserve"> </w:t>
      </w:r>
      <w:r w:rsidR="00D414BD">
        <w:t xml:space="preserve">in the </w:t>
      </w:r>
      <w:r w:rsidR="00A721E0">
        <w:t>FL</w:t>
      </w:r>
      <w:r w:rsidR="005D172D">
        <w:t xml:space="preserve"> intend</w:t>
      </w:r>
      <w:r w:rsidR="00391A61">
        <w:t>s</w:t>
      </w:r>
      <w:r w:rsidR="005D172D">
        <w:t xml:space="preserve"> to </w:t>
      </w:r>
      <w:r w:rsidR="00391A61">
        <w:t>facilitate a</w:t>
      </w:r>
      <w:r w:rsidR="005D172D">
        <w:t xml:space="preserve"> </w:t>
      </w:r>
      <w:r w:rsidR="00A66003">
        <w:t xml:space="preserve">predictable </w:t>
      </w:r>
      <w:r w:rsidR="00391A61">
        <w:t>use</w:t>
      </w:r>
      <w:r w:rsidR="005D172D">
        <w:t xml:space="preserve"> of the various </w:t>
      </w:r>
      <w:r w:rsidR="00BC5A40">
        <w:t xml:space="preserve">available </w:t>
      </w:r>
      <w:r w:rsidR="005D172D">
        <w:t>channels</w:t>
      </w:r>
      <w:r w:rsidR="00A721E0">
        <w:t xml:space="preserve">. </w:t>
      </w:r>
    </w:p>
    <w:p w14:paraId="273B0BF8" w14:textId="4B670372" w:rsidR="00E02EE7" w:rsidRDefault="00D414BD" w:rsidP="001B0B6B">
      <w:r>
        <w:t xml:space="preserve">The </w:t>
      </w:r>
      <w:r w:rsidR="00C15320">
        <w:t>RM</w:t>
      </w:r>
      <w:r>
        <w:t xml:space="preserve"> functionality in the FL </w:t>
      </w:r>
      <w:r w:rsidR="00BC5A40">
        <w:t xml:space="preserve">not only </w:t>
      </w:r>
      <w:r>
        <w:t>selects a specific channel for the use by a service or application but also</w:t>
      </w:r>
      <w:r w:rsidR="00BC5A40">
        <w:t xml:space="preserve"> </w:t>
      </w:r>
      <w:r w:rsidR="00391A61">
        <w:t>support</w:t>
      </w:r>
      <w:r>
        <w:t>s</w:t>
      </w:r>
      <w:r w:rsidR="00BC5A40">
        <w:t xml:space="preserve"> the use of </w:t>
      </w:r>
      <w:r w:rsidR="00391A61">
        <w:t>multiple channel</w:t>
      </w:r>
      <w:r w:rsidR="00BC5A40">
        <w:t>s</w:t>
      </w:r>
      <w:r>
        <w:t xml:space="preserve"> including the resource distribution among the requestors or resources. I</w:t>
      </w:r>
      <w:r w:rsidR="006737D1">
        <w:t xml:space="preserve">t appears preferable to </w:t>
      </w:r>
      <w:r w:rsidR="00BC5A40">
        <w:t xml:space="preserve">rename </w:t>
      </w:r>
      <w:r w:rsidR="006737D1">
        <w:t xml:space="preserve">the </w:t>
      </w:r>
      <w:r w:rsidR="005D172D">
        <w:t xml:space="preserve">MCO </w:t>
      </w:r>
      <w:r w:rsidR="00391A61">
        <w:t>FL</w:t>
      </w:r>
      <w:r w:rsidR="005D172D">
        <w:t xml:space="preserve"> functionality</w:t>
      </w:r>
      <w:r w:rsidR="00C15320">
        <w:t xml:space="preserve"> as defined in the ETSI TR 103 439 </w:t>
      </w:r>
      <w:r w:rsidR="00C15320">
        <w:fldChar w:fldCharType="begin"/>
      </w:r>
      <w:r w:rsidR="00C15320">
        <w:instrText xml:space="preserve"> REF ETSI_TR103439 \h </w:instrText>
      </w:r>
      <w:r w:rsidR="00C15320">
        <w:fldChar w:fldCharType="separate"/>
      </w:r>
      <w:r w:rsidR="00C15320" w:rsidRPr="00913ABF">
        <w:t>[i.</w:t>
      </w:r>
      <w:r w:rsidR="00C15320">
        <w:t>1</w:t>
      </w:r>
      <w:r w:rsidR="00C15320" w:rsidRPr="00913ABF">
        <w:t>]</w:t>
      </w:r>
      <w:r w:rsidR="00C15320">
        <w:fldChar w:fldCharType="end"/>
      </w:r>
      <w:r w:rsidR="00C15320">
        <w:t>,</w:t>
      </w:r>
      <w:r w:rsidR="005D172D">
        <w:t xml:space="preserve"> into a </w:t>
      </w:r>
      <w:r w:rsidR="00BC5A40">
        <w:t xml:space="preserve">more general </w:t>
      </w:r>
      <w:r w:rsidR="00A721E0">
        <w:t>RM</w:t>
      </w:r>
      <w:r w:rsidR="006737D1">
        <w:t xml:space="preserve">. </w:t>
      </w:r>
    </w:p>
    <w:p w14:paraId="23D4A3DA" w14:textId="5E9953D8" w:rsidR="00EB6A21" w:rsidRDefault="00EB6A21" w:rsidP="001B0B6B">
      <w:r>
        <w:t xml:space="preserve">The RM </w:t>
      </w:r>
      <w:r w:rsidR="00391A61">
        <w:t xml:space="preserve">is </w:t>
      </w:r>
      <w:r>
        <w:t xml:space="preserve">a </w:t>
      </w:r>
      <w:r w:rsidR="00391A61">
        <w:t>FL</w:t>
      </w:r>
      <w:r>
        <w:t xml:space="preserve"> functionality which should replace what currently specified as the MCO-Facilities (MCO-FAC) in the ETSI TS 103 141 </w:t>
      </w:r>
      <w:r>
        <w:fldChar w:fldCharType="begin"/>
      </w:r>
      <w:r>
        <w:instrText xml:space="preserve"> REF ETSI_TS103141 \h </w:instrText>
      </w:r>
      <w:r>
        <w:fldChar w:fldCharType="separate"/>
      </w:r>
      <w:r w:rsidRPr="00913ABF">
        <w:t>[i.</w:t>
      </w:r>
      <w:r>
        <w:t>5</w:t>
      </w:r>
      <w:r w:rsidRPr="00913ABF">
        <w:t>]</w:t>
      </w:r>
      <w:r>
        <w:fldChar w:fldCharType="end"/>
      </w:r>
      <w:r w:rsidR="00391A61">
        <w:t>.</w:t>
      </w:r>
      <w:r>
        <w:t xml:space="preserve"> </w:t>
      </w:r>
    </w:p>
    <w:p w14:paraId="0B950510" w14:textId="3889628B" w:rsidR="00685240" w:rsidRDefault="00685240" w:rsidP="001B0B6B">
      <w:r>
        <w:t xml:space="preserve">The </w:t>
      </w:r>
      <w:r w:rsidR="00A721E0">
        <w:t>RM</w:t>
      </w:r>
      <w:r>
        <w:t xml:space="preserve"> operation depends on </w:t>
      </w:r>
      <w:r w:rsidR="00A721E0">
        <w:t xml:space="preserve">the capabilities </w:t>
      </w:r>
      <w:r>
        <w:t>of</w:t>
      </w:r>
      <w:r w:rsidR="00A721E0">
        <w:t xml:space="preserve"> </w:t>
      </w:r>
      <w:r w:rsidR="005D172D">
        <w:t xml:space="preserve">the </w:t>
      </w:r>
      <w:r w:rsidR="00A721E0">
        <w:t xml:space="preserve">lower layers and </w:t>
      </w:r>
      <w:r>
        <w:t>on the proper operation of the applications and the message generating and manipulating ITS-S services.</w:t>
      </w:r>
      <w:r w:rsidR="00A721E0">
        <w:t xml:space="preserve"> </w:t>
      </w:r>
      <w:r w:rsidR="00391A61">
        <w:t>To allow the RM to provide robust operation of applications</w:t>
      </w:r>
      <w:r w:rsidR="00BF215E">
        <w:t xml:space="preserve"> and services</w:t>
      </w:r>
      <w:r w:rsidR="00391A61">
        <w:t xml:space="preserve">, it is required that all </w:t>
      </w:r>
      <w:r>
        <w:t>dataflow functionalities at all layers</w:t>
      </w:r>
      <w:r w:rsidR="00391A61">
        <w:t>, from application</w:t>
      </w:r>
      <w:r w:rsidR="00BC5A40">
        <w:t>s</w:t>
      </w:r>
      <w:r w:rsidR="00391A61">
        <w:t xml:space="preserve"> to AL functionalities</w:t>
      </w:r>
      <w:r w:rsidR="00BC5A40">
        <w:t>,</w:t>
      </w:r>
      <w:r w:rsidR="00391A61">
        <w:t xml:space="preserve"> operate with </w:t>
      </w:r>
      <w:r>
        <w:t xml:space="preserve">similar </w:t>
      </w:r>
      <w:r w:rsidR="0004724F">
        <w:t>trustworthiness and QoS</w:t>
      </w:r>
      <w:r>
        <w:t xml:space="preserve">. </w:t>
      </w:r>
    </w:p>
    <w:p w14:paraId="257D0E41" w14:textId="02C07876" w:rsidR="00E02EE7" w:rsidRPr="005C5573" w:rsidRDefault="00685240" w:rsidP="001B0B6B">
      <w:r>
        <w:t xml:space="preserve">In </w:t>
      </w:r>
      <w:r w:rsidR="004A3FC7">
        <w:t>clause</w:t>
      </w:r>
      <w:r>
        <w:t xml:space="preserve"> </w:t>
      </w:r>
      <w:r>
        <w:fldChar w:fldCharType="begin"/>
      </w:r>
      <w:r>
        <w:instrText xml:space="preserve"> REF _Ref184459637 \r \h </w:instrText>
      </w:r>
      <w:r>
        <w:fldChar w:fldCharType="separate"/>
      </w:r>
      <w:r w:rsidR="00CD4321">
        <w:t>5</w:t>
      </w:r>
      <w:r>
        <w:fldChar w:fldCharType="end"/>
      </w:r>
      <w:r w:rsidR="00CD4321">
        <w:t>,</w:t>
      </w:r>
      <w:r>
        <w:t xml:space="preserve"> relevant lower layer</w:t>
      </w:r>
      <w:r w:rsidR="00A721E0">
        <w:t xml:space="preserve"> </w:t>
      </w:r>
      <w:r>
        <w:t xml:space="preserve">robustness improvements are </w:t>
      </w:r>
      <w:r w:rsidR="00A66003">
        <w:t>depicted</w:t>
      </w:r>
      <w:r w:rsidR="00BC5A40">
        <w:t xml:space="preserve">; </w:t>
      </w:r>
      <w:r>
        <w:t xml:space="preserve">in </w:t>
      </w:r>
      <w:r w:rsidR="004A3FC7">
        <w:t>clause</w:t>
      </w:r>
      <w:r>
        <w:t xml:space="preserve"> </w:t>
      </w:r>
      <w:r>
        <w:fldChar w:fldCharType="begin"/>
      </w:r>
      <w:r>
        <w:instrText xml:space="preserve"> REF _Ref179120269 \r \h </w:instrText>
      </w:r>
      <w:r>
        <w:fldChar w:fldCharType="separate"/>
      </w:r>
      <w:r w:rsidR="00CD4321">
        <w:t>6</w:t>
      </w:r>
      <w:r>
        <w:fldChar w:fldCharType="end"/>
      </w:r>
      <w:r w:rsidR="00BC5A40">
        <w:t>,</w:t>
      </w:r>
      <w:r>
        <w:t xml:space="preserve"> the application and ITS-S service parameters and possibilities are considered</w:t>
      </w:r>
      <w:r w:rsidR="00BC5A40">
        <w:t>;</w:t>
      </w:r>
      <w:r>
        <w:t xml:space="preserve"> and in </w:t>
      </w:r>
      <w:r w:rsidR="004A3FC7">
        <w:t>clause</w:t>
      </w:r>
      <w:r>
        <w:t xml:space="preserve"> </w:t>
      </w:r>
      <w:r>
        <w:fldChar w:fldCharType="begin"/>
      </w:r>
      <w:r>
        <w:instrText xml:space="preserve"> REF _Ref184459762 \r \h </w:instrText>
      </w:r>
      <w:r>
        <w:fldChar w:fldCharType="separate"/>
      </w:r>
      <w:r w:rsidR="00CD4321">
        <w:t>7</w:t>
      </w:r>
      <w:r>
        <w:fldChar w:fldCharType="end"/>
      </w:r>
      <w:r w:rsidR="00BC5A40">
        <w:t>,</w:t>
      </w:r>
      <w:r>
        <w:t xml:space="preserve"> the functional layer mechanisms are investigated and considered.  </w:t>
      </w:r>
    </w:p>
    <w:p w14:paraId="0F0C4AEE" w14:textId="1200C639" w:rsidR="00365464" w:rsidRPr="00F54712" w:rsidRDefault="00365464" w:rsidP="00F140CF">
      <w:pPr>
        <w:pStyle w:val="Heading1"/>
        <w:numPr>
          <w:ilvl w:val="0"/>
          <w:numId w:val="11"/>
        </w:numPr>
        <w:ind w:left="1134"/>
      </w:pPr>
      <w:bookmarkStart w:id="166" w:name="_Ref184289366"/>
      <w:bookmarkStart w:id="167" w:name="_Ref184459637"/>
      <w:bookmarkStart w:id="168" w:name="_Toc197337008"/>
      <w:r w:rsidRPr="00082258">
        <w:rPr>
          <w:lang w:val="en-US"/>
        </w:rPr>
        <w:t>Congestion Control Optimization</w:t>
      </w:r>
      <w:bookmarkEnd w:id="166"/>
      <w:bookmarkEnd w:id="167"/>
      <w:bookmarkEnd w:id="168"/>
    </w:p>
    <w:p w14:paraId="0AEF509E" w14:textId="172BFB4E" w:rsidR="00365464" w:rsidRDefault="00365464" w:rsidP="00F140CF">
      <w:pPr>
        <w:pStyle w:val="Heading2"/>
        <w:numPr>
          <w:ilvl w:val="1"/>
          <w:numId w:val="11"/>
        </w:numPr>
        <w:ind w:left="1134"/>
      </w:pPr>
      <w:bookmarkStart w:id="169" w:name="_Toc197337009"/>
      <w:r>
        <w:t>Introduction</w:t>
      </w:r>
      <w:bookmarkEnd w:id="169"/>
    </w:p>
    <w:p w14:paraId="062F8115" w14:textId="40AD502C" w:rsidR="005506B3" w:rsidRDefault="00B437E5" w:rsidP="00B1354A">
      <w:r>
        <w:t xml:space="preserve">In Release 1, congestion </w:t>
      </w:r>
      <w:r w:rsidR="001A4042">
        <w:t xml:space="preserve">control is managed separately when concerning to ITS-G5 or to LTE-V2X and NR-V2X sidelink. This document focuses on congestion control in ITS-G5, which is called Decentralized Congestion Control (DCC). </w:t>
      </w:r>
    </w:p>
    <w:p w14:paraId="0D549BCE" w14:textId="7AE16237" w:rsidR="001A4042" w:rsidRPr="008601F5" w:rsidRDefault="00F8778B" w:rsidP="00B1354A">
      <w:r>
        <w:t xml:space="preserve">In this </w:t>
      </w:r>
      <w:r w:rsidR="004A3FC7">
        <w:t>clause</w:t>
      </w:r>
      <w:r>
        <w:t xml:space="preserve">, we </w:t>
      </w:r>
      <w:r w:rsidR="005506B3">
        <w:t xml:space="preserve">focus on DCC in a single channel, </w:t>
      </w:r>
      <w:r>
        <w:t>review</w:t>
      </w:r>
      <w:r w:rsidR="005506B3">
        <w:t>ing</w:t>
      </w:r>
      <w:r>
        <w:t xml:space="preserve"> the standards of Release 1 and identify</w:t>
      </w:r>
      <w:r w:rsidR="005506B3">
        <w:t>ing</w:t>
      </w:r>
      <w:r>
        <w:t xml:space="preserve"> the aspects that</w:t>
      </w:r>
      <w:r w:rsidR="005506B3">
        <w:t xml:space="preserve"> in Release 2</w:t>
      </w:r>
      <w:r>
        <w:t xml:space="preserve"> can benefit from modifications or require modifications to comply with the MCO framework.</w:t>
      </w:r>
    </w:p>
    <w:p w14:paraId="7FD3D87A" w14:textId="760B4813" w:rsidR="00F753BB" w:rsidRDefault="00255B87" w:rsidP="00F140CF">
      <w:pPr>
        <w:pStyle w:val="Heading2"/>
        <w:numPr>
          <w:ilvl w:val="1"/>
          <w:numId w:val="11"/>
        </w:numPr>
        <w:ind w:left="1134"/>
      </w:pPr>
      <w:bookmarkStart w:id="170" w:name="_Toc197337010"/>
      <w:r>
        <w:t>Decentralized c</w:t>
      </w:r>
      <w:r w:rsidR="001A4042">
        <w:t>ongestion control in Release 1</w:t>
      </w:r>
      <w:bookmarkEnd w:id="170"/>
    </w:p>
    <w:p w14:paraId="21BB39F6" w14:textId="175B6BB3" w:rsidR="002904C1" w:rsidRPr="002904C1" w:rsidRDefault="002904C1" w:rsidP="00F140CF">
      <w:pPr>
        <w:pStyle w:val="Heading3"/>
        <w:numPr>
          <w:ilvl w:val="2"/>
          <w:numId w:val="11"/>
        </w:numPr>
        <w:ind w:left="1134"/>
      </w:pPr>
      <w:bookmarkStart w:id="171" w:name="_Toc197337011"/>
      <w:r>
        <w:t>Introduction</w:t>
      </w:r>
      <w:bookmarkEnd w:id="171"/>
    </w:p>
    <w:p w14:paraId="3CF07C45" w14:textId="1407FA96" w:rsidR="008601F5" w:rsidRDefault="00F8778B" w:rsidP="00B1354A">
      <w:r>
        <w:t>T</w:t>
      </w:r>
      <w:r w:rsidRPr="00F8778B">
        <w:t xml:space="preserve">his </w:t>
      </w:r>
      <w:r w:rsidR="004A3FC7">
        <w:t>clause</w:t>
      </w:r>
      <w:r>
        <w:t xml:space="preserve"> </w:t>
      </w:r>
      <w:r w:rsidRPr="00F8778B">
        <w:t>provide</w:t>
      </w:r>
      <w:r>
        <w:t>s</w:t>
      </w:r>
      <w:r w:rsidRPr="00F8778B">
        <w:t xml:space="preserve"> a synthetic review of DCC as it is defined in Release 1</w:t>
      </w:r>
      <w:r>
        <w:t>.</w:t>
      </w:r>
      <w:r w:rsidR="008601F5">
        <w:t xml:space="preserve"> First of all, it recalls the definition of the main metrics used for congestion </w:t>
      </w:r>
      <w:r w:rsidR="003359E3">
        <w:t>control and</w:t>
      </w:r>
      <w:r w:rsidR="008601F5">
        <w:t xml:space="preserve"> then details the limits that apply and the constrains imposed to the congestion control algorithm. The congestion control algorithm to be used is not specified by the </w:t>
      </w:r>
      <w:r w:rsidR="00426D4F">
        <w:t>standards but</w:t>
      </w:r>
      <w:r w:rsidR="008601F5">
        <w:t xml:space="preserve"> needs to respect the given constraints.</w:t>
      </w:r>
    </w:p>
    <w:p w14:paraId="6FA9372D" w14:textId="0A2226D8" w:rsidR="002904C1" w:rsidRDefault="002904C1" w:rsidP="00F140CF">
      <w:pPr>
        <w:pStyle w:val="Heading3"/>
        <w:numPr>
          <w:ilvl w:val="2"/>
          <w:numId w:val="11"/>
        </w:numPr>
        <w:ind w:left="1134"/>
      </w:pPr>
      <w:bookmarkStart w:id="172" w:name="_Toc197337012"/>
      <w:r>
        <w:t>Overview of Release 1 DCC</w:t>
      </w:r>
      <w:bookmarkEnd w:id="172"/>
    </w:p>
    <w:p w14:paraId="428D8790" w14:textId="7C6926C7" w:rsidR="00F753BB" w:rsidRDefault="00F753BB" w:rsidP="00B1354A">
      <w:r>
        <w:t xml:space="preserve">The general description of Release 1 DCC is provided in ETSI </w:t>
      </w:r>
      <w:r w:rsidRPr="005506B3">
        <w:t>TS 103</w:t>
      </w:r>
      <w:r>
        <w:t> </w:t>
      </w:r>
      <w:r w:rsidRPr="005506B3">
        <w:t>175</w:t>
      </w:r>
      <w:r w:rsidR="00237413">
        <w:t xml:space="preserve"> </w:t>
      </w:r>
      <w:r w:rsidR="00237413">
        <w:fldChar w:fldCharType="begin"/>
      </w:r>
      <w:r w:rsidR="00237413">
        <w:instrText xml:space="preserve"> REF ETSI_TS103175 \h </w:instrText>
      </w:r>
      <w:r w:rsidR="00237413">
        <w:fldChar w:fldCharType="separate"/>
      </w:r>
      <w:r w:rsidR="00237413" w:rsidRPr="00913ABF">
        <w:t>[i.</w:t>
      </w:r>
      <w:r w:rsidR="00237413">
        <w:t>17]</w:t>
      </w:r>
      <w:r w:rsidR="00237413">
        <w:fldChar w:fldCharType="end"/>
      </w:r>
      <w:r>
        <w:t xml:space="preserve">, which details the components at the various layers of the C-ITS protocol stack. </w:t>
      </w:r>
      <w:r w:rsidR="00B437E5">
        <w:t xml:space="preserve">In </w:t>
      </w:r>
      <w:r w:rsidR="00237413">
        <w:t>Release 1</w:t>
      </w:r>
      <w:r w:rsidR="00B437E5">
        <w:t>,</w:t>
      </w:r>
      <w:r w:rsidR="00237413">
        <w:t xml:space="preserve"> </w:t>
      </w:r>
      <w:r>
        <w:t xml:space="preserve">DCC has in fact components at the access layer, detailed in ETSI </w:t>
      </w:r>
      <w:r w:rsidRPr="005506B3">
        <w:t>TS 102</w:t>
      </w:r>
      <w:r>
        <w:t> </w:t>
      </w:r>
      <w:r w:rsidRPr="005506B3">
        <w:t>687</w:t>
      </w:r>
      <w:r w:rsidR="00237413">
        <w:t xml:space="preserve"> </w:t>
      </w:r>
      <w:r w:rsidR="00237413">
        <w:fldChar w:fldCharType="begin"/>
      </w:r>
      <w:r w:rsidR="00237413">
        <w:instrText xml:space="preserve"> REF ETSI_TS102687 \h </w:instrText>
      </w:r>
      <w:r w:rsidR="00237413">
        <w:fldChar w:fldCharType="separate"/>
      </w:r>
      <w:r w:rsidR="00237413" w:rsidRPr="00913ABF">
        <w:t>[i.</w:t>
      </w:r>
      <w:r w:rsidR="00237413">
        <w:t>16</w:t>
      </w:r>
      <w:r w:rsidR="00237413" w:rsidRPr="00913ABF">
        <w:t>]</w:t>
      </w:r>
      <w:r w:rsidR="00237413">
        <w:fldChar w:fldCharType="end"/>
      </w:r>
      <w:r>
        <w:t xml:space="preserve">, </w:t>
      </w:r>
      <w:r w:rsidR="00873EA7">
        <w:t xml:space="preserve">and </w:t>
      </w:r>
      <w:r>
        <w:t xml:space="preserve">at the networking &amp; transport layer, detailed in ETSI </w:t>
      </w:r>
      <w:r w:rsidRPr="005506B3">
        <w:t>TS 102 636-4-2</w:t>
      </w:r>
      <w:r w:rsidR="00237413">
        <w:t xml:space="preserve"> </w:t>
      </w:r>
      <w:r w:rsidR="00237413">
        <w:fldChar w:fldCharType="begin"/>
      </w:r>
      <w:r w:rsidR="00237413">
        <w:instrText xml:space="preserve"> REF ETSI_TS102636_4_2 \h </w:instrText>
      </w:r>
      <w:r w:rsidR="00237413">
        <w:fldChar w:fldCharType="separate"/>
      </w:r>
      <w:r w:rsidR="00237413" w:rsidRPr="00913ABF">
        <w:t>[i.</w:t>
      </w:r>
      <w:r w:rsidR="00237413">
        <w:t>15</w:t>
      </w:r>
      <w:r w:rsidR="00237413" w:rsidRPr="00913ABF">
        <w:t>]</w:t>
      </w:r>
      <w:r w:rsidR="00237413">
        <w:fldChar w:fldCharType="end"/>
      </w:r>
      <w:r w:rsidR="00873EA7">
        <w:t>. Components were planned also at t</w:t>
      </w:r>
      <w:r>
        <w:t xml:space="preserve">he facilities layer, </w:t>
      </w:r>
      <w:r w:rsidR="00873EA7">
        <w:t>but this was eventually postponed to Release 2.</w:t>
      </w:r>
    </w:p>
    <w:p w14:paraId="0B91FEA8" w14:textId="43D46684" w:rsidR="002904C1" w:rsidRPr="00A86D71" w:rsidRDefault="002904C1" w:rsidP="00F140CF">
      <w:pPr>
        <w:pStyle w:val="Heading3"/>
        <w:numPr>
          <w:ilvl w:val="2"/>
          <w:numId w:val="11"/>
        </w:numPr>
        <w:ind w:left="1134"/>
      </w:pPr>
      <w:bookmarkStart w:id="173" w:name="_Ref184291458"/>
      <w:bookmarkStart w:id="174" w:name="_Toc197337013"/>
      <w:r>
        <w:t>Metrics</w:t>
      </w:r>
      <w:bookmarkEnd w:id="173"/>
      <w:bookmarkEnd w:id="174"/>
    </w:p>
    <w:p w14:paraId="28844D16" w14:textId="62F133A6" w:rsidR="00255B87" w:rsidRDefault="008601F5" w:rsidP="00B92FB9">
      <w:pPr>
        <w:overflowPunct/>
        <w:spacing w:after="0"/>
        <w:textAlignment w:val="auto"/>
      </w:pPr>
      <w:r>
        <w:t xml:space="preserve">DCC is based on the concept of Channel Busy Ratio (CBR), as defined in ETSI </w:t>
      </w:r>
      <w:r w:rsidRPr="005506B3">
        <w:t>EN 302</w:t>
      </w:r>
      <w:r>
        <w:t> </w:t>
      </w:r>
      <w:r w:rsidRPr="005506B3">
        <w:t>571</w:t>
      </w:r>
      <w:r w:rsidR="00237413">
        <w:t xml:space="preserve"> </w:t>
      </w:r>
      <w:r w:rsidR="00237413">
        <w:fldChar w:fldCharType="begin"/>
      </w:r>
      <w:r w:rsidR="00237413">
        <w:instrText xml:space="preserve"> REF ETSI_EN302571 \h </w:instrText>
      </w:r>
      <w:r w:rsidR="00237413">
        <w:fldChar w:fldCharType="separate"/>
      </w:r>
      <w:r w:rsidR="00237413" w:rsidRPr="00913ABF">
        <w:t>[i.</w:t>
      </w:r>
      <w:r w:rsidR="00237413">
        <w:t>18</w:t>
      </w:r>
      <w:r w:rsidR="00237413" w:rsidRPr="00913ABF">
        <w:t>]</w:t>
      </w:r>
      <w:r w:rsidR="00237413">
        <w:fldChar w:fldCharType="end"/>
      </w:r>
      <w:r>
        <w:t xml:space="preserve">, which determines the level of </w:t>
      </w:r>
      <w:r w:rsidR="00C6215B">
        <w:t>l</w:t>
      </w:r>
      <w:r w:rsidR="0062415A">
        <w:t>oad</w:t>
      </w:r>
      <w:r>
        <w:t xml:space="preserve"> of the channel.</w:t>
      </w:r>
      <w:r w:rsidR="00F753BB">
        <w:t xml:space="preserve"> </w:t>
      </w:r>
      <w:r w:rsidR="00C6215B">
        <w:t xml:space="preserve">More specifically, the receiver determines every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C6215B">
        <w:t xml:space="preserve">, set to 100 ms, the time when the strength of the received signal exceeds -85 dBm, called </w:t>
      </w:r>
      <m:oMath>
        <m:sSub>
          <m:sSubPr>
            <m:ctrlPr>
              <w:rPr>
                <w:rFonts w:ascii="Cambria Math" w:hAnsi="Cambria Math"/>
                <w:i/>
              </w:rPr>
            </m:ctrlPr>
          </m:sSubPr>
          <m:e>
            <m:r>
              <w:rPr>
                <w:rFonts w:ascii="Cambria Math" w:hAnsi="Cambria Math"/>
              </w:rPr>
              <m:t>T</m:t>
            </m:r>
          </m:e>
          <m:sub>
            <m:r>
              <w:rPr>
                <w:rFonts w:ascii="Cambria Math" w:hAnsi="Cambria Math"/>
              </w:rPr>
              <m:t>busy</m:t>
            </m:r>
          </m:sub>
        </m:sSub>
      </m:oMath>
      <w:r w:rsidR="00C6215B">
        <w:t xml:space="preserve">. </w:t>
      </w:r>
      <w:r w:rsidR="00C6215B">
        <w:rPr>
          <w:lang w:eastAsia="en-GB"/>
        </w:rPr>
        <w:t xml:space="preserve">The CBR is calculated every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C6215B">
        <w:t xml:space="preserve"> as </w:t>
      </w:r>
    </w:p>
    <w:p w14:paraId="35330627" w14:textId="3E7440DA" w:rsidR="00D671F6" w:rsidRPr="00C6215B" w:rsidRDefault="00C47B74" w:rsidP="005E0032">
      <w:pPr>
        <w:tabs>
          <w:tab w:val="left" w:pos="4253"/>
          <w:tab w:val="left" w:pos="9072"/>
        </w:tabs>
        <w:overflowPunct/>
        <w:spacing w:after="0"/>
        <w:textAlignment w:val="auto"/>
      </w:pPr>
      <w:r>
        <w:tab/>
      </w:r>
      <m:oMath>
        <m:r>
          <w:rPr>
            <w:rFonts w:ascii="Cambria Math" w:hAnsi="Cambria Math"/>
          </w:rPr>
          <m:t xml:space="preserve">CBR= </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busy</m:t>
                </m:r>
              </m:sub>
            </m:sSub>
          </m:num>
          <m:den>
            <m:sSub>
              <m:sSubPr>
                <m:ctrlPr>
                  <w:rPr>
                    <w:rFonts w:ascii="Cambria Math" w:hAnsi="Cambria Math"/>
                    <w:i/>
                  </w:rPr>
                </m:ctrlPr>
              </m:sSubPr>
              <m:e>
                <m:r>
                  <w:rPr>
                    <w:rFonts w:ascii="Cambria Math" w:hAnsi="Cambria Math"/>
                  </w:rPr>
                  <m:t>T</m:t>
                </m:r>
              </m:e>
              <m:sub>
                <m:r>
                  <w:rPr>
                    <w:rFonts w:ascii="Cambria Math" w:hAnsi="Cambria Math"/>
                  </w:rPr>
                  <m:t>CBR</m:t>
                </m:r>
              </m:sub>
            </m:sSub>
          </m:den>
        </m:f>
      </m:oMath>
      <w:r w:rsidR="00D671F6">
        <w:t xml:space="preserve"> </w:t>
      </w:r>
      <w:r>
        <w:tab/>
        <w:t>(</w:t>
      </w:r>
      <w:r>
        <w:fldChar w:fldCharType="begin"/>
      </w:r>
      <w:r>
        <w:instrText xml:space="preserve"> </w:instrText>
      </w:r>
      <w:r w:rsidRPr="00C47B74">
        <w:instrText xml:space="preserve">SEQ Eq \* ARABIC </w:instrText>
      </w:r>
      <w:r>
        <w:instrText xml:space="preserve"> </w:instrText>
      </w:r>
      <w:r>
        <w:fldChar w:fldCharType="separate"/>
      </w:r>
      <w:r>
        <w:rPr>
          <w:noProof/>
        </w:rPr>
        <w:t>1</w:t>
      </w:r>
      <w:r>
        <w:fldChar w:fldCharType="end"/>
      </w:r>
      <w:r>
        <w:t>)</w:t>
      </w:r>
    </w:p>
    <w:p w14:paraId="0F74AB43" w14:textId="77777777" w:rsidR="00C47B74" w:rsidRDefault="00C47B74" w:rsidP="00B92FB9">
      <w:pPr>
        <w:overflowPunct/>
        <w:spacing w:after="0"/>
        <w:jc w:val="center"/>
        <w:textAlignment w:val="auto"/>
      </w:pPr>
    </w:p>
    <w:p w14:paraId="268C4D25" w14:textId="7348F0CC" w:rsidR="00B92FB9" w:rsidRDefault="00207469" w:rsidP="00D936C5">
      <w:pPr>
        <w:ind w:left="284" w:hanging="4"/>
        <w:rPr>
          <w:color w:val="000000" w:themeColor="text1"/>
        </w:rPr>
      </w:pPr>
      <w:r>
        <w:rPr>
          <w:color w:val="000000" w:themeColor="text1"/>
        </w:rPr>
        <w:t>Note</w:t>
      </w:r>
      <w:r w:rsidR="002618FA">
        <w:rPr>
          <w:color w:val="000000" w:themeColor="text1"/>
        </w:rPr>
        <w:t>:</w:t>
      </w:r>
      <w:r w:rsidR="002618FA">
        <w:rPr>
          <w:color w:val="000000" w:themeColor="text1"/>
        </w:rPr>
        <w:tab/>
        <w:t>It is common use to consider the own transmission time</w:t>
      </w:r>
      <w:r w:rsidR="00C47B74">
        <w:rPr>
          <w:color w:val="000000" w:themeColor="text1"/>
        </w:rPr>
        <w:t xml:space="preserve"> as</w:t>
      </w:r>
      <w:r w:rsidR="002618FA">
        <w:rPr>
          <w:color w:val="000000" w:themeColor="text1"/>
        </w:rPr>
        <w:t xml:space="preserve"> part of </w:t>
      </w:r>
      <m:oMath>
        <m:sSub>
          <m:sSubPr>
            <m:ctrlPr>
              <w:rPr>
                <w:rFonts w:ascii="Cambria Math" w:hAnsi="Cambria Math"/>
                <w:i/>
              </w:rPr>
            </m:ctrlPr>
          </m:sSubPr>
          <m:e>
            <m:r>
              <w:rPr>
                <w:rFonts w:ascii="Cambria Math" w:hAnsi="Cambria Math"/>
              </w:rPr>
              <m:t>T</m:t>
            </m:r>
          </m:e>
          <m:sub>
            <m:r>
              <w:rPr>
                <w:rFonts w:ascii="Cambria Math" w:hAnsi="Cambria Math"/>
              </w:rPr>
              <m:t>busy</m:t>
            </m:r>
          </m:sub>
        </m:sSub>
      </m:oMath>
      <w:r w:rsidR="002618FA">
        <w:rPr>
          <w:color w:val="000000" w:themeColor="text1"/>
        </w:rPr>
        <w:t>, even if this is not explicitly</w:t>
      </w:r>
      <w:r w:rsidR="00D936C5">
        <w:rPr>
          <w:color w:val="000000" w:themeColor="text1"/>
        </w:rPr>
        <w:tab/>
      </w:r>
      <w:r w:rsidR="00D936C5">
        <w:rPr>
          <w:color w:val="000000" w:themeColor="text1"/>
        </w:rPr>
        <w:tab/>
      </w:r>
      <w:r w:rsidR="00D936C5">
        <w:rPr>
          <w:color w:val="000000" w:themeColor="text1"/>
        </w:rPr>
        <w:tab/>
      </w:r>
      <w:r w:rsidR="002618FA">
        <w:rPr>
          <w:color w:val="000000" w:themeColor="text1"/>
        </w:rPr>
        <w:t xml:space="preserve">written in the </w:t>
      </w:r>
      <w:r w:rsidR="00C47B74">
        <w:rPr>
          <w:color w:val="000000" w:themeColor="text1"/>
        </w:rPr>
        <w:t xml:space="preserve">current </w:t>
      </w:r>
      <w:r w:rsidR="002618FA">
        <w:rPr>
          <w:color w:val="000000" w:themeColor="text1"/>
        </w:rPr>
        <w:t>specifications.</w:t>
      </w:r>
    </w:p>
    <w:p w14:paraId="35D89C78" w14:textId="7E7ED304" w:rsidR="00C6215B" w:rsidRDefault="00D671F6" w:rsidP="00B1354A">
      <w:r w:rsidRPr="00B92FB9">
        <w:rPr>
          <w:color w:val="000000" w:themeColor="text1"/>
        </w:rPr>
        <w:t xml:space="preserve">The measured CBR can be elaborated at the </w:t>
      </w:r>
      <w:r>
        <w:rPr>
          <w:color w:val="000000" w:themeColor="text1"/>
        </w:rPr>
        <w:t>n</w:t>
      </w:r>
      <w:r w:rsidRPr="00B92FB9">
        <w:rPr>
          <w:color w:val="000000" w:themeColor="text1"/>
        </w:rPr>
        <w:t xml:space="preserve">etworking &amp; </w:t>
      </w:r>
      <w:r>
        <w:rPr>
          <w:color w:val="000000" w:themeColor="text1"/>
        </w:rPr>
        <w:t>t</w:t>
      </w:r>
      <w:r w:rsidRPr="00B92FB9">
        <w:rPr>
          <w:color w:val="000000" w:themeColor="text1"/>
        </w:rPr>
        <w:t>ransport layer and exchanged with the neighbouring nodes</w:t>
      </w:r>
      <w:r>
        <w:rPr>
          <w:color w:val="000000" w:themeColor="text1"/>
        </w:rPr>
        <w:t xml:space="preserve"> up to the second hop</w:t>
      </w:r>
      <w:r w:rsidRPr="00B92FB9">
        <w:rPr>
          <w:color w:val="000000" w:themeColor="text1"/>
        </w:rPr>
        <w:t>.</w:t>
      </w:r>
      <w:r>
        <w:rPr>
          <w:color w:val="FF0000"/>
        </w:rPr>
        <w:t xml:space="preserve"> </w:t>
      </w:r>
      <w:r w:rsidRPr="00B92FB9">
        <w:rPr>
          <w:color w:val="000000" w:themeColor="text1"/>
        </w:rPr>
        <w:t xml:space="preserve">This allows, as detailed in </w:t>
      </w:r>
      <w:r>
        <w:t xml:space="preserve">ETSI </w:t>
      </w:r>
      <w:r w:rsidRPr="005506B3">
        <w:t>TS 102 636-4-2</w:t>
      </w:r>
      <w:r w:rsidR="00237413">
        <w:t xml:space="preserve"> </w:t>
      </w:r>
      <w:r w:rsidR="00237413">
        <w:fldChar w:fldCharType="begin"/>
      </w:r>
      <w:r w:rsidR="00237413">
        <w:instrText xml:space="preserve"> REF ETSI_TS102636_4_2 \h </w:instrText>
      </w:r>
      <w:r w:rsidR="00237413">
        <w:fldChar w:fldCharType="separate"/>
      </w:r>
      <w:r w:rsidR="00237413" w:rsidRPr="00913ABF">
        <w:t>[i.</w:t>
      </w:r>
      <w:r w:rsidR="00237413">
        <w:t>15</w:t>
      </w:r>
      <w:r w:rsidR="00237413" w:rsidRPr="00913ABF">
        <w:t>]</w:t>
      </w:r>
      <w:r w:rsidR="00237413">
        <w:fldChar w:fldCharType="end"/>
      </w:r>
      <w:r>
        <w:t xml:space="preserve">, to obtain average values of the CBR </w:t>
      </w:r>
      <w:r w:rsidR="00321798">
        <w:t>in a larger area than the one directly observed by the station</w:t>
      </w:r>
      <w:r w:rsidR="00255B87">
        <w:t>.</w:t>
      </w:r>
      <w:r w:rsidR="00C47B74">
        <w:t xml:space="preserve"> This aspect is further discussed in </w:t>
      </w:r>
      <w:r w:rsidR="004A3FC7">
        <w:t>clause</w:t>
      </w:r>
      <w:r w:rsidR="00C47B74">
        <w:t xml:space="preserve"> </w:t>
      </w:r>
      <w:r w:rsidR="00C47B74">
        <w:fldChar w:fldCharType="begin"/>
      </w:r>
      <w:r w:rsidR="00C47B74">
        <w:instrText xml:space="preserve"> REF _Ref184291304 \r \h </w:instrText>
      </w:r>
      <w:r w:rsidR="00C47B74">
        <w:fldChar w:fldCharType="separate"/>
      </w:r>
      <w:r w:rsidR="00C47B74">
        <w:t>5.2.6</w:t>
      </w:r>
      <w:r w:rsidR="00C47B74">
        <w:fldChar w:fldCharType="end"/>
      </w:r>
      <w:r w:rsidR="00C47B74">
        <w:t>.</w:t>
      </w:r>
    </w:p>
    <w:p w14:paraId="48AB2612" w14:textId="77777777" w:rsidR="00C6215B" w:rsidRDefault="00C6215B" w:rsidP="00B1354A">
      <w:r>
        <w:t>Other metrics that are relevant for the DCC process are:</w:t>
      </w:r>
    </w:p>
    <w:p w14:paraId="48106A48" w14:textId="16866062" w:rsidR="00255B87" w:rsidRDefault="00C6215B" w:rsidP="00F140CF">
      <w:pPr>
        <w:pStyle w:val="ListParagraph"/>
        <w:numPr>
          <w:ilvl w:val="0"/>
          <w:numId w:val="12"/>
        </w:numPr>
      </w:pPr>
      <w:r>
        <w:t xml:space="preserve">The duration of a single transmission, </w:t>
      </w:r>
      <w:r w:rsidR="00612300">
        <w:t xml:space="preserve">denoted </w:t>
      </w:r>
      <w:r>
        <w:t xml:space="preserve">as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t>;</w:t>
      </w:r>
    </w:p>
    <w:p w14:paraId="637BBC55" w14:textId="413E1C17" w:rsidR="00C6215B" w:rsidRDefault="00C6215B" w:rsidP="00F140CF">
      <w:pPr>
        <w:pStyle w:val="ListParagraph"/>
        <w:numPr>
          <w:ilvl w:val="0"/>
          <w:numId w:val="12"/>
        </w:numPr>
      </w:pPr>
      <w:r>
        <w:t>The time between the end of a transmission and the beginning of the following one</w:t>
      </w:r>
      <w:r w:rsidR="00D671F6">
        <w:t xml:space="preserve">, </w:t>
      </w:r>
      <w:r w:rsidR="00612300">
        <w:t xml:space="preserve">denoted </w:t>
      </w:r>
      <w:r w:rsidR="00D671F6">
        <w:t xml:space="preserve">as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D671F6">
        <w:t>;</w:t>
      </w:r>
    </w:p>
    <w:p w14:paraId="2B1B6D75" w14:textId="22AA620F" w:rsidR="00D671F6" w:rsidRDefault="00D671F6" w:rsidP="00F140CF">
      <w:pPr>
        <w:pStyle w:val="ListParagraph"/>
        <w:numPr>
          <w:ilvl w:val="0"/>
          <w:numId w:val="12"/>
        </w:numPr>
      </w:pPr>
      <w:r>
        <w:t xml:space="preserve">The portion of time within a reference interval (set to 1 second) when the station is transmitting in the given channel, called </w:t>
      </w:r>
      <w:r w:rsidRPr="00B92FB9">
        <w:rPr>
          <w:i/>
        </w:rPr>
        <w:t>duty cycle</w:t>
      </w:r>
      <w:r>
        <w:t xml:space="preserve">. </w:t>
      </w:r>
    </w:p>
    <w:p w14:paraId="54E70C38" w14:textId="48B9CC6D" w:rsidR="002904C1" w:rsidRPr="00A86D71" w:rsidRDefault="005763B7" w:rsidP="00F140CF">
      <w:pPr>
        <w:pStyle w:val="Heading3"/>
        <w:numPr>
          <w:ilvl w:val="2"/>
          <w:numId w:val="11"/>
        </w:numPr>
        <w:ind w:left="1134"/>
      </w:pPr>
      <w:bookmarkStart w:id="175" w:name="_Ref184309479"/>
      <w:bookmarkStart w:id="176" w:name="_Ref186797115"/>
      <w:bookmarkStart w:id="177" w:name="_Ref187825511"/>
      <w:bookmarkStart w:id="178" w:name="_Toc197337014"/>
      <w:r>
        <w:t xml:space="preserve">Limit imposed to the channel </w:t>
      </w:r>
      <w:r w:rsidR="00C6215B">
        <w:t>l</w:t>
      </w:r>
      <w:r w:rsidR="0062415A">
        <w:t>oad</w:t>
      </w:r>
      <w:bookmarkEnd w:id="175"/>
      <w:bookmarkEnd w:id="176"/>
      <w:bookmarkEnd w:id="177"/>
      <w:bookmarkEnd w:id="178"/>
    </w:p>
    <w:p w14:paraId="764BA095" w14:textId="5488FA61" w:rsidR="008601F5" w:rsidRDefault="008601F5" w:rsidP="00B1354A">
      <w:r>
        <w:t xml:space="preserve">The limit </w:t>
      </w:r>
      <w:r w:rsidR="00255B87">
        <w:t xml:space="preserve">for the channel </w:t>
      </w:r>
      <w:r w:rsidR="00321798">
        <w:t>l</w:t>
      </w:r>
      <w:r w:rsidR="0062415A">
        <w:t>oad</w:t>
      </w:r>
      <w:r w:rsidR="00255B87">
        <w:t xml:space="preserve"> of each station </w:t>
      </w:r>
      <w:r>
        <w:t xml:space="preserve">is indicated in the ETSI </w:t>
      </w:r>
      <w:r w:rsidRPr="005506B3">
        <w:t>EN 302</w:t>
      </w:r>
      <w:r>
        <w:t> </w:t>
      </w:r>
      <w:r w:rsidRPr="005506B3">
        <w:t>571</w:t>
      </w:r>
      <w:r w:rsidR="00237413">
        <w:t xml:space="preserve"> </w:t>
      </w:r>
      <w:r w:rsidR="00237413">
        <w:fldChar w:fldCharType="begin"/>
      </w:r>
      <w:r w:rsidR="00237413">
        <w:instrText xml:space="preserve"> REF ETSI_EN302571 \h </w:instrText>
      </w:r>
      <w:r w:rsidR="00237413">
        <w:fldChar w:fldCharType="separate"/>
      </w:r>
      <w:r w:rsidR="00237413" w:rsidRPr="00913ABF">
        <w:t>[i.</w:t>
      </w:r>
      <w:r w:rsidR="00237413">
        <w:t>18</w:t>
      </w:r>
      <w:r w:rsidR="00237413" w:rsidRPr="00913ABF">
        <w:t>]</w:t>
      </w:r>
      <w:r w:rsidR="00237413">
        <w:fldChar w:fldCharType="end"/>
      </w:r>
      <w:r>
        <w:t xml:space="preserve">, which in turn elaborates from the ETSI TS </w:t>
      </w:r>
      <w:r w:rsidRPr="005506B3">
        <w:t>103</w:t>
      </w:r>
      <w:r>
        <w:t> </w:t>
      </w:r>
      <w:r w:rsidRPr="005506B3">
        <w:t>175</w:t>
      </w:r>
      <w:r>
        <w:t xml:space="preserve"> </w:t>
      </w:r>
      <w:r w:rsidR="00237413">
        <w:fldChar w:fldCharType="begin"/>
      </w:r>
      <w:r w:rsidR="00237413">
        <w:instrText xml:space="preserve"> REF ETSI_TS103175 \h </w:instrText>
      </w:r>
      <w:r w:rsidR="00237413">
        <w:fldChar w:fldCharType="separate"/>
      </w:r>
      <w:r w:rsidR="00237413" w:rsidRPr="00913ABF">
        <w:t>[i.</w:t>
      </w:r>
      <w:r w:rsidR="00237413">
        <w:t>17]</w:t>
      </w:r>
      <w:r w:rsidR="00237413">
        <w:fldChar w:fldCharType="end"/>
      </w:r>
      <w:r w:rsidR="00237413">
        <w:t xml:space="preserve"> </w:t>
      </w:r>
      <w:r>
        <w:t xml:space="preserve">and ETSI </w:t>
      </w:r>
      <w:r w:rsidRPr="005506B3">
        <w:t>TR 101</w:t>
      </w:r>
      <w:r>
        <w:t> </w:t>
      </w:r>
      <w:r w:rsidRPr="005506B3">
        <w:t>612</w:t>
      </w:r>
      <w:r w:rsidR="00237413">
        <w:t xml:space="preserve"> </w:t>
      </w:r>
      <w:r w:rsidR="00237413">
        <w:fldChar w:fldCharType="begin"/>
      </w:r>
      <w:r w:rsidR="00237413">
        <w:instrText xml:space="preserve"> REF ETSI_TR101612 \h </w:instrText>
      </w:r>
      <w:r w:rsidR="00237413">
        <w:fldChar w:fldCharType="separate"/>
      </w:r>
      <w:r w:rsidR="00237413" w:rsidRPr="00913ABF">
        <w:t>[i.</w:t>
      </w:r>
      <w:r w:rsidR="00237413">
        <w:t>14</w:t>
      </w:r>
      <w:r w:rsidR="00237413" w:rsidRPr="00913ABF">
        <w:t>]</w:t>
      </w:r>
      <w:r w:rsidR="00237413">
        <w:fldChar w:fldCharType="end"/>
      </w:r>
      <w:r>
        <w:t>. The limit provides a minimum time between two consecutive transmissions where the transceiver is not allowed to generate a signal</w:t>
      </w:r>
      <w:r w:rsidR="00321798">
        <w:t xml:space="preserv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321798">
        <w:t xml:space="preserve">, as defined in </w:t>
      </w:r>
      <w:r w:rsidR="004A3FC7">
        <w:t>clause</w:t>
      </w:r>
      <w:r w:rsidR="00340D78">
        <w:t xml:space="preserve"> </w:t>
      </w:r>
      <w:r w:rsidR="00340D78">
        <w:fldChar w:fldCharType="begin"/>
      </w:r>
      <w:r w:rsidR="00340D78">
        <w:instrText xml:space="preserve"> REF _Ref184291458 \r \h </w:instrText>
      </w:r>
      <w:r w:rsidR="00340D78">
        <w:fldChar w:fldCharType="separate"/>
      </w:r>
      <w:r w:rsidR="00340D78">
        <w:t>5.2.3</w:t>
      </w:r>
      <w:r w:rsidR="00340D78">
        <w:fldChar w:fldCharType="end"/>
      </w:r>
      <w:r w:rsidR="00321798">
        <w:t>)</w:t>
      </w:r>
      <w:r>
        <w:t xml:space="preserve">, based on the duration of the last transmission </w:t>
      </w:r>
      <w:r w:rsidR="00321798">
        <w:t>(</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321798">
        <w:t xml:space="preserve">, as defined in </w:t>
      </w:r>
      <w:r w:rsidR="004A3FC7">
        <w:t>clause</w:t>
      </w:r>
      <w:r w:rsidR="00340D78">
        <w:t xml:space="preserve"> </w:t>
      </w:r>
      <w:r w:rsidR="00340D78">
        <w:fldChar w:fldCharType="begin"/>
      </w:r>
      <w:r w:rsidR="00340D78">
        <w:instrText xml:space="preserve"> REF _Ref184291458 \r \h </w:instrText>
      </w:r>
      <w:r w:rsidR="00340D78">
        <w:fldChar w:fldCharType="separate"/>
      </w:r>
      <w:r w:rsidR="00340D78">
        <w:t>5.2.3</w:t>
      </w:r>
      <w:r w:rsidR="00340D78">
        <w:fldChar w:fldCharType="end"/>
      </w:r>
      <w:r w:rsidR="00321798">
        <w:t xml:space="preserve">) </w:t>
      </w:r>
      <w:r>
        <w:t xml:space="preserve">and the measured </w:t>
      </w:r>
      <w:r w:rsidR="00255B87">
        <w:t>CBR</w:t>
      </w:r>
      <w:r>
        <w:t>.</w:t>
      </w:r>
      <w:r w:rsidR="00DB6B44">
        <w:t xml:space="preserve"> </w:t>
      </w:r>
    </w:p>
    <w:p w14:paraId="5AE72E8B" w14:textId="3968F154" w:rsidR="00321798" w:rsidRDefault="00321798" w:rsidP="00321798">
      <w:r>
        <w:t>For any value of the CBR</w:t>
      </w:r>
      <w:r w:rsidR="00340D78">
        <w:t>,</w:t>
      </w:r>
      <w:r>
        <w:t xml:space="preserv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t xml:space="preserve"> needs to be larger than 25 ms. If the CBR is equal or above to 0.62, the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340D78">
        <w:t xml:space="preserve"> </w:t>
      </w:r>
      <w:r>
        <w:t>needs also to comply with the following equation:</w:t>
      </w:r>
    </w:p>
    <w:p w14:paraId="7A8A98D0" w14:textId="111776FC" w:rsidR="00321798" w:rsidRDefault="00556202" w:rsidP="005E0032">
      <w:pPr>
        <w:tabs>
          <w:tab w:val="left" w:pos="2552"/>
          <w:tab w:val="left" w:pos="9072"/>
        </w:tabs>
        <w:overflowPunct/>
        <w:spacing w:after="0"/>
        <w:textAlignment w:val="auto"/>
      </w:pPr>
      <w:r>
        <w:tab/>
      </w:r>
      <m:oMath>
        <m:sSub>
          <m:sSubPr>
            <m:ctrlPr>
              <w:rPr>
                <w:rFonts w:ascii="Cambria Math" w:hAnsi="Cambria Math"/>
              </w:rPr>
            </m:ctrlPr>
          </m:sSubPr>
          <m:e>
            <m:r>
              <w:rPr>
                <w:rFonts w:ascii="Cambria Math" w:hAnsi="Cambria Math"/>
              </w:rPr>
              <m:t>T</m:t>
            </m:r>
          </m:e>
          <m:sub>
            <m:r>
              <w:rPr>
                <w:rFonts w:ascii="Cambria Math" w:hAnsi="Cambria Math"/>
              </w:rPr>
              <m:t>off</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limLow>
          </m:fName>
          <m:e>
            <m:d>
              <m:dPr>
                <m:begChr m:val="{"/>
                <m:endChr m:val="}"/>
                <m:ctrlPr>
                  <w:rPr>
                    <w:rFonts w:ascii="Cambria Math" w:hAnsi="Cambria Math"/>
                  </w:rPr>
                </m:ctrlPr>
              </m:dPr>
              <m:e>
                <m:r>
                  <m:rPr>
                    <m:sty m:val="p"/>
                  </m:rPr>
                  <w:rPr>
                    <w:rFonts w:ascii="Cambria Math" w:hAnsi="Cambria Math"/>
                  </w:rPr>
                  <m:t>1000,</m:t>
                </m:r>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d>
                  <m:dPr>
                    <m:ctrlPr>
                      <w:rPr>
                        <w:rFonts w:ascii="Cambria Math" w:hAnsi="Cambria Math"/>
                      </w:rPr>
                    </m:ctrlPr>
                  </m:dPr>
                  <m:e>
                    <m:r>
                      <m:rPr>
                        <m:sty m:val="p"/>
                      </m:rPr>
                      <w:rPr>
                        <w:rFonts w:ascii="Cambria Math" w:hAnsi="Cambria Math"/>
                      </w:rPr>
                      <m:t>4000×</m:t>
                    </m:r>
                    <m:f>
                      <m:fPr>
                        <m:ctrlPr>
                          <w:rPr>
                            <w:rFonts w:ascii="Cambria Math" w:hAnsi="Cambria Math"/>
                          </w:rPr>
                        </m:ctrlPr>
                      </m:fPr>
                      <m:num>
                        <m:r>
                          <w:rPr>
                            <w:rFonts w:ascii="Cambria Math" w:hAnsi="Cambria Math"/>
                          </w:rPr>
                          <m:t>CBR</m:t>
                        </m:r>
                        <m:r>
                          <m:rPr>
                            <m:sty m:val="p"/>
                          </m:rPr>
                          <w:rPr>
                            <w:rFonts w:ascii="Cambria Math" w:hAnsi="Cambria Math"/>
                          </w:rPr>
                          <m:t>-0.62</m:t>
                        </m:r>
                      </m:num>
                      <m:den>
                        <m:r>
                          <w:rPr>
                            <w:rFonts w:ascii="Cambria Math" w:hAnsi="Cambria Math"/>
                          </w:rPr>
                          <m:t>CBR</m:t>
                        </m:r>
                      </m:den>
                    </m:f>
                    <m:r>
                      <m:rPr>
                        <m:sty m:val="p"/>
                      </m:rPr>
                      <w:rPr>
                        <w:rFonts w:ascii="Cambria Math" w:hAnsi="Cambria Math"/>
                      </w:rPr>
                      <m:t>-1</m:t>
                    </m:r>
                  </m:e>
                </m:d>
                <m:r>
                  <m:rPr>
                    <m:sty m:val="p"/>
                  </m:rPr>
                  <w:rPr>
                    <w:rFonts w:ascii="Cambria Math" w:hAnsi="Cambria Math"/>
                  </w:rPr>
                  <m:t xml:space="preserve">  </m:t>
                </m:r>
              </m:e>
            </m:d>
          </m:e>
        </m:func>
      </m:oMath>
      <w:r w:rsidR="009F2804">
        <w:t xml:space="preserve"> </w:t>
      </w:r>
      <w:r>
        <w:tab/>
        <w:t>(</w:t>
      </w:r>
      <w:bookmarkStart w:id="179" w:name="EQ_ToffLimit"/>
      <w:r>
        <w:fldChar w:fldCharType="begin"/>
      </w:r>
      <w:r>
        <w:instrText xml:space="preserve"> </w:instrText>
      </w:r>
      <w:r w:rsidRPr="00C47B74">
        <w:instrText xml:space="preserve">SEQ Eq \* ARABIC </w:instrText>
      </w:r>
      <w:r>
        <w:instrText xml:space="preserve"> </w:instrText>
      </w:r>
      <w:r>
        <w:fldChar w:fldCharType="separate"/>
      </w:r>
      <w:r>
        <w:rPr>
          <w:noProof/>
        </w:rPr>
        <w:t>2</w:t>
      </w:r>
      <w:r>
        <w:fldChar w:fldCharType="end"/>
      </w:r>
      <w:bookmarkEnd w:id="179"/>
      <w:r>
        <w:t>)</w:t>
      </w:r>
    </w:p>
    <w:p w14:paraId="5E1B91FD" w14:textId="528B575E" w:rsidR="009F2804" w:rsidRDefault="009F2804">
      <w:r>
        <w:t xml:space="preserve">with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t xml:space="preserve"> expressed in milliseconds. The rationale behind </w:t>
      </w:r>
      <w:r w:rsidR="00ED290F">
        <w:t xml:space="preserve">the </w:t>
      </w:r>
      <w:r>
        <w:t xml:space="preserve">equation </w:t>
      </w:r>
      <w:r w:rsidR="00ED290F">
        <w:t>above</w:t>
      </w:r>
      <w:r>
        <w:t xml:space="preserve"> is discussed in Annex A.</w:t>
      </w:r>
    </w:p>
    <w:p w14:paraId="0AA61A4E" w14:textId="00554B37" w:rsidR="00D936C5" w:rsidRDefault="00321798" w:rsidP="00321798">
      <w:r>
        <w:t xml:space="preserve">In addition, ETSI </w:t>
      </w:r>
      <w:r w:rsidRPr="005506B3">
        <w:t>EN 302</w:t>
      </w:r>
      <w:r>
        <w:t> </w:t>
      </w:r>
      <w:r w:rsidRPr="005506B3">
        <w:t>571</w:t>
      </w:r>
      <w:r w:rsidR="00237413">
        <w:t xml:space="preserve"> </w:t>
      </w:r>
      <w:r w:rsidR="00237413">
        <w:fldChar w:fldCharType="begin"/>
      </w:r>
      <w:r w:rsidR="00237413">
        <w:instrText xml:space="preserve"> REF ETSI_EN302571 \h </w:instrText>
      </w:r>
      <w:r w:rsidR="00237413">
        <w:fldChar w:fldCharType="separate"/>
      </w:r>
      <w:r w:rsidR="00237413" w:rsidRPr="00913ABF">
        <w:t>[i.</w:t>
      </w:r>
      <w:r w:rsidR="00237413">
        <w:t>18</w:t>
      </w:r>
      <w:r w:rsidR="00237413" w:rsidRPr="00913ABF">
        <w:t>]</w:t>
      </w:r>
      <w:r w:rsidR="00237413">
        <w:fldChar w:fldCharType="end"/>
      </w:r>
      <w:r>
        <w:t xml:space="preserve"> indicates a maximum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of 4 ms and a maximum duty cycle of 3%.</w:t>
      </w:r>
    </w:p>
    <w:p w14:paraId="2A4004D3" w14:textId="746E1935" w:rsidR="00D936C5" w:rsidRDefault="00340D78" w:rsidP="00D936C5">
      <w:pPr>
        <w:ind w:firstLine="284"/>
      </w:pPr>
      <w:r>
        <w:t>Editor’s</w:t>
      </w:r>
      <w:r w:rsidR="00D936C5">
        <w:t xml:space="preserve"> </w:t>
      </w:r>
      <w:r w:rsidR="00207469">
        <w:t>Note</w:t>
      </w:r>
      <w:r w:rsidR="00D936C5">
        <w:t>: this depends on the spectrum regulation currently in development.</w:t>
      </w:r>
    </w:p>
    <w:p w14:paraId="42597EE1" w14:textId="2D8C5299" w:rsidR="005763B7" w:rsidRDefault="005763B7" w:rsidP="00F140CF">
      <w:pPr>
        <w:pStyle w:val="Heading3"/>
        <w:numPr>
          <w:ilvl w:val="2"/>
          <w:numId w:val="11"/>
        </w:numPr>
        <w:ind w:left="1134"/>
      </w:pPr>
      <w:bookmarkStart w:id="180" w:name="_Toc197337015"/>
      <w:r>
        <w:t>Release 1 DCC at the access layer and constraints to the algorithm</w:t>
      </w:r>
      <w:bookmarkEnd w:id="180"/>
    </w:p>
    <w:p w14:paraId="6CB17088" w14:textId="012602E0" w:rsidR="00A96A23" w:rsidRDefault="00255B87" w:rsidP="00B1354A">
      <w:r>
        <w:t xml:space="preserve">ETSI </w:t>
      </w:r>
      <w:r w:rsidRPr="005506B3">
        <w:t>TS 102</w:t>
      </w:r>
      <w:r>
        <w:t> </w:t>
      </w:r>
      <w:r w:rsidRPr="005506B3">
        <w:t>687</w:t>
      </w:r>
      <w:r>
        <w:t xml:space="preserve"> details the constraints for the algorithm to be implemented at the access layer. The specific algorithm is not </w:t>
      </w:r>
      <w:r w:rsidR="005F47BF">
        <w:t>defined but</w:t>
      </w:r>
      <w:r>
        <w:t xml:space="preserve"> left to the implementer. The constraints are as follows:</w:t>
      </w:r>
    </w:p>
    <w:p w14:paraId="39992F0C" w14:textId="281F7683" w:rsidR="00F855B8" w:rsidRDefault="00F855B8" w:rsidP="00F140CF">
      <w:pPr>
        <w:pStyle w:val="ListParagraph"/>
        <w:numPr>
          <w:ilvl w:val="0"/>
          <w:numId w:val="19"/>
        </w:numPr>
      </w:pPr>
      <w:r>
        <w:t xml:space="preserve">The algorithm shall run on each frequency channel specified in ETSI EN 302 </w:t>
      </w:r>
      <w:r w:rsidRPr="005506B3">
        <w:t>571</w:t>
      </w:r>
      <w:r>
        <w:t xml:space="preserve"> </w:t>
      </w:r>
      <w:r>
        <w:fldChar w:fldCharType="begin"/>
      </w:r>
      <w:r>
        <w:instrText xml:space="preserve"> REF ETSI_EN302571 \h </w:instrText>
      </w:r>
      <w:r>
        <w:fldChar w:fldCharType="separate"/>
      </w:r>
      <w:r w:rsidRPr="00913ABF">
        <w:t>[i.</w:t>
      </w:r>
      <w:r>
        <w:t>18</w:t>
      </w:r>
      <w:r w:rsidRPr="00913ABF">
        <w:t>]</w:t>
      </w:r>
      <w:r>
        <w:fldChar w:fldCharType="end"/>
      </w:r>
      <w:r>
        <w:t xml:space="preserve"> independently;</w:t>
      </w:r>
    </w:p>
    <w:p w14:paraId="44AEA5F1" w14:textId="19BE3C21" w:rsidR="00F855B8" w:rsidRDefault="00F855B8" w:rsidP="00F140CF">
      <w:pPr>
        <w:pStyle w:val="ListParagraph"/>
        <w:numPr>
          <w:ilvl w:val="0"/>
          <w:numId w:val="19"/>
        </w:numPr>
      </w:pPr>
      <w:r>
        <w:t>The algorithm shall run in an infinite loop;</w:t>
      </w:r>
    </w:p>
    <w:p w14:paraId="7B20EC6F" w14:textId="35F8DF97" w:rsidR="00F855B8" w:rsidRDefault="00F855B8" w:rsidP="00F140CF">
      <w:pPr>
        <w:pStyle w:val="ListParagraph"/>
        <w:numPr>
          <w:ilvl w:val="0"/>
          <w:numId w:val="19"/>
        </w:numPr>
      </w:pPr>
      <w:r>
        <w:t>The algorithm shall be activated at least every 200 ms;</w:t>
      </w:r>
    </w:p>
    <w:p w14:paraId="2A49085F" w14:textId="25FA48EF" w:rsidR="00F855B8" w:rsidRDefault="00F855B8" w:rsidP="00F140CF">
      <w:pPr>
        <w:pStyle w:val="ListParagraph"/>
        <w:numPr>
          <w:ilvl w:val="0"/>
          <w:numId w:val="19"/>
        </w:numPr>
      </w:pPr>
      <w:r>
        <w:t xml:space="preserve">The algorithm shall not exceed the limits discussed in </w:t>
      </w:r>
      <w:r w:rsidR="004A3FC7">
        <w:t>clause</w:t>
      </w:r>
      <w:r>
        <w:t xml:space="preserve"> </w:t>
      </w:r>
      <w:r>
        <w:fldChar w:fldCharType="begin"/>
      </w:r>
      <w:r>
        <w:instrText xml:space="preserve"> REF _Ref186797115 \r \h </w:instrText>
      </w:r>
      <w:r>
        <w:fldChar w:fldCharType="separate"/>
      </w:r>
      <w:r>
        <w:t>5.2.4</w:t>
      </w:r>
      <w:r>
        <w:fldChar w:fldCharType="end"/>
      </w:r>
      <w:r>
        <w:t>.</w:t>
      </w:r>
    </w:p>
    <w:p w14:paraId="40CB8F59" w14:textId="7BD65824" w:rsidR="00255B87" w:rsidRDefault="00255B87" w:rsidP="004E52D9">
      <w:r>
        <w:t xml:space="preserve">In the same document, two possible classes and an example for each of them are reported. The first class is called reactive </w:t>
      </w:r>
      <w:r w:rsidR="00F855B8">
        <w:t>and consists in the use of a number of states. The station moves from one state to another based on the measured CBR; the state defines the value of</w:t>
      </w:r>
      <w:r w:rsidR="004E52D9">
        <w:t xml:space="preserve">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F855B8">
        <w:t xml:space="preserve">. The </w:t>
      </w:r>
      <w:r w:rsidR="004E52D9">
        <w:t>minimum</w:t>
      </w:r>
      <w:r w:rsidR="00F855B8">
        <w:t xml:space="preserv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F855B8">
        <w:t xml:space="preserve"> that follows from each state can be </w:t>
      </w:r>
      <w:r w:rsidR="004E52D9">
        <w:t xml:space="preserve">dependent on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4E52D9">
        <w:t xml:space="preserve"> (for example, two different values can be defined if the packet is small or large). ETSI </w:t>
      </w:r>
      <w:r w:rsidR="004E52D9" w:rsidRPr="005506B3">
        <w:t>TS 102</w:t>
      </w:r>
      <w:r w:rsidR="004E52D9">
        <w:t> </w:t>
      </w:r>
      <w:r w:rsidR="004E52D9" w:rsidRPr="005506B3">
        <w:t>687</w:t>
      </w:r>
      <w:r w:rsidR="004E52D9">
        <w:t xml:space="preserve"> does not specify the number of states or the values to be used per each state, but gives an example in its Annex A. In the reactive approach, at each step the station measures the CBR, identifies the state, and sets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t xml:space="preserve"> accordingly.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t xml:space="preserve"> has thus a granularity that is defined by the number of states and the associated values.</w:t>
      </w:r>
    </w:p>
    <w:p w14:paraId="053398E2" w14:textId="4FCAB086" w:rsidR="00255B87" w:rsidRDefault="00255B87" w:rsidP="004E52D9">
      <w:r>
        <w:t>The second class is called proactive</w:t>
      </w:r>
      <w:r w:rsidR="004E52D9">
        <w:t xml:space="preserve"> and increases or reduces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t xml:space="preserve"> based on the measured CBR. In this case, ETSI </w:t>
      </w:r>
      <w:r w:rsidR="004E52D9" w:rsidRPr="005506B3">
        <w:t>TS 102</w:t>
      </w:r>
      <w:r w:rsidR="004E52D9">
        <w:t> </w:t>
      </w:r>
      <w:r w:rsidR="004E52D9" w:rsidRPr="005506B3">
        <w:t>687</w:t>
      </w:r>
      <w:r w:rsidR="004E52D9">
        <w:t xml:space="preserve"> specifies the calculations that need to be performed from the measured CBR to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4E52D9">
        <w:t xml:space="preserve">, also including the values of the several parameters used by the calculations. ETSI </w:t>
      </w:r>
      <w:r w:rsidR="004E52D9" w:rsidRPr="005506B3">
        <w:t>TS 102</w:t>
      </w:r>
      <w:r w:rsidR="004E52D9">
        <w:t> </w:t>
      </w:r>
      <w:r w:rsidR="004E52D9" w:rsidRPr="005506B3">
        <w:t>687</w:t>
      </w:r>
      <w:r w:rsidR="004E52D9">
        <w:t xml:space="preserve"> also describes, in its Appendix B, a possible implementation of the </w:t>
      </w:r>
      <w:r w:rsidR="00960E9B" w:rsidRPr="00960E9B">
        <w:t>"gate keeping" function at the interface to the</w:t>
      </w:r>
      <w:r w:rsidR="00960E9B">
        <w:t xml:space="preserve"> n</w:t>
      </w:r>
      <w:r w:rsidR="004E52D9">
        <w:t>etwork</w:t>
      </w:r>
      <w:r w:rsidR="00960E9B">
        <w:t>ing</w:t>
      </w:r>
      <w:r w:rsidR="004E52D9">
        <w:t xml:space="preserve"> &amp; </w:t>
      </w:r>
      <w:r w:rsidR="00960E9B">
        <w:t>t</w:t>
      </w:r>
      <w:r w:rsidR="004E52D9">
        <w:t>ransport layer</w:t>
      </w:r>
      <w:r w:rsidR="00960E9B">
        <w:t xml:space="preserve"> to cope with messages of variable size.</w:t>
      </w:r>
      <w:r w:rsidR="004E52D9">
        <w:t xml:space="preserve"> </w:t>
      </w:r>
    </w:p>
    <w:p w14:paraId="1F18A895" w14:textId="77E1CF9E" w:rsidR="005763B7" w:rsidRDefault="005763B7" w:rsidP="00F140CF">
      <w:pPr>
        <w:pStyle w:val="Heading3"/>
        <w:numPr>
          <w:ilvl w:val="2"/>
          <w:numId w:val="11"/>
        </w:numPr>
        <w:ind w:left="1134"/>
      </w:pPr>
      <w:bookmarkStart w:id="181" w:name="_Ref184291304"/>
      <w:bookmarkStart w:id="182" w:name="_Toc197337016"/>
      <w:r>
        <w:t>Release 1 DCC at the networking &amp; transport layer</w:t>
      </w:r>
      <w:bookmarkEnd w:id="181"/>
      <w:bookmarkEnd w:id="182"/>
    </w:p>
    <w:p w14:paraId="15B21BD9" w14:textId="5F83B5C6" w:rsidR="0026730C" w:rsidRDefault="00960E9B" w:rsidP="00340D78">
      <w:r w:rsidRPr="00960E9B">
        <w:t xml:space="preserve">ETSI TS 102 636-4-2 </w:t>
      </w:r>
      <w:r>
        <w:t>describes the m</w:t>
      </w:r>
      <w:r w:rsidRPr="00960E9B">
        <w:t>edia-dependent functionalities for ITS-G5</w:t>
      </w:r>
      <w:r>
        <w:t xml:space="preserve"> at the networking &amp; transport layer</w:t>
      </w:r>
      <w:r w:rsidR="0026730C">
        <w:t>, also called DCC_NET</w:t>
      </w:r>
      <w:r>
        <w:t>.</w:t>
      </w:r>
      <w:r w:rsidR="0026730C">
        <w:t xml:space="preserve"> </w:t>
      </w:r>
      <w:r w:rsidR="00C32F55">
        <w:t xml:space="preserve">If GeoNetworking is implemented, </w:t>
      </w:r>
      <w:r w:rsidR="0026730C">
        <w:t xml:space="preserve">DCC_NET is </w:t>
      </w:r>
      <w:r w:rsidR="00C32F55">
        <w:t>mandatory</w:t>
      </w:r>
      <w:r w:rsidR="0026730C">
        <w:t xml:space="preserve">. If it is implemented, it </w:t>
      </w:r>
    </w:p>
    <w:p w14:paraId="4BFDF1FD" w14:textId="20568AB6" w:rsidR="0026730C" w:rsidRDefault="0026730C" w:rsidP="00F140CF">
      <w:pPr>
        <w:pStyle w:val="ListParagraph"/>
        <w:numPr>
          <w:ilvl w:val="0"/>
          <w:numId w:val="20"/>
        </w:numPr>
      </w:pPr>
      <w:r>
        <w:t>Maintains a number of DCC state variables (CBR_L_0_Hop, CBR_L_1_Hop, CBR_L_2_Hop, CBR_R_0_Hop, CBR_R_1_Hop, CBR_G, and CBR_Target)</w:t>
      </w:r>
      <w:r w:rsidR="0013056E">
        <w:t>, also using the Location Table Entry Extension for ITS-G5 (LocTEX-G5)</w:t>
      </w:r>
      <w:r>
        <w:t>;</w:t>
      </w:r>
      <w:r w:rsidR="00C32F55">
        <w:t xml:space="preserve"> LocTEX-G5 is an extension of the location table of the </w:t>
      </w:r>
      <w:r w:rsidR="00C32F55" w:rsidRPr="00C32F55">
        <w:t>GeoAdhoc router</w:t>
      </w:r>
      <w:r w:rsidR="00C32F55">
        <w:t>;</w:t>
      </w:r>
    </w:p>
    <w:p w14:paraId="68394F53" w14:textId="6E5396A0" w:rsidR="0026730C" w:rsidRDefault="0026730C" w:rsidP="00F140CF">
      <w:pPr>
        <w:pStyle w:val="ListParagraph"/>
        <w:numPr>
          <w:ilvl w:val="0"/>
          <w:numId w:val="20"/>
        </w:numPr>
      </w:pPr>
      <w:r>
        <w:t>Periodically calculates the global Channel Busy Ratio</w:t>
      </w:r>
      <w:r w:rsidR="0013056E">
        <w:t>,</w:t>
      </w:r>
      <w:r>
        <w:t xml:space="preserve"> CBR_G;</w:t>
      </w:r>
    </w:p>
    <w:p w14:paraId="79A509E0" w14:textId="5E3CA1AF" w:rsidR="0026730C" w:rsidRDefault="0026730C" w:rsidP="00F140CF">
      <w:pPr>
        <w:pStyle w:val="ListParagraph"/>
        <w:numPr>
          <w:ilvl w:val="0"/>
          <w:numId w:val="20"/>
        </w:numPr>
      </w:pPr>
      <w:r>
        <w:t>Processes and provides DCC-related information from/to DCC_CROSS;</w:t>
      </w:r>
    </w:p>
    <w:p w14:paraId="40FB50D8" w14:textId="000BF0C2" w:rsidR="0026730C" w:rsidRDefault="0026730C" w:rsidP="00F140CF">
      <w:pPr>
        <w:pStyle w:val="ListParagraph"/>
        <w:numPr>
          <w:ilvl w:val="0"/>
          <w:numId w:val="20"/>
        </w:numPr>
      </w:pPr>
      <w:r>
        <w:t>Transmits and receives DCC-related information to other GeoNetworking routers using the extensions for GeoNetworking packet handling</w:t>
      </w:r>
      <w:r w:rsidR="00C32F55">
        <w:t>;</w:t>
      </w:r>
    </w:p>
    <w:p w14:paraId="651FFA4C" w14:textId="0DCCCFAB" w:rsidR="00C32F55" w:rsidRDefault="00C32F55" w:rsidP="00F140CF">
      <w:pPr>
        <w:pStyle w:val="ListParagraph"/>
        <w:numPr>
          <w:ilvl w:val="0"/>
          <w:numId w:val="20"/>
        </w:numPr>
      </w:pPr>
      <w:r>
        <w:t xml:space="preserve">It optionally sets the transmission power limits, </w:t>
      </w:r>
      <w:r w:rsidRPr="00207469">
        <w:rPr>
          <w:lang w:eastAsia="en-GB"/>
        </w:rPr>
        <w:t xml:space="preserve">as specified in ETSI TS 103 175, </w:t>
      </w:r>
      <w:r w:rsidR="004A3FC7">
        <w:rPr>
          <w:lang w:eastAsia="en-GB"/>
        </w:rPr>
        <w:t>clause</w:t>
      </w:r>
      <w:r w:rsidRPr="00207469">
        <w:rPr>
          <w:lang w:eastAsia="en-GB"/>
        </w:rPr>
        <w:t xml:space="preserve"> 6.2</w:t>
      </w:r>
      <w:r>
        <w:t>.</w:t>
      </w:r>
    </w:p>
    <w:p w14:paraId="57CA3F06" w14:textId="05479A9B" w:rsidR="0026730C" w:rsidRDefault="0026730C">
      <w:r>
        <w:t xml:space="preserve">Regarding the state variables CBR_L_0_Hop, CBR_L_1_Hop, and CBR_L_2_Hop, they are the CBR measured by the station (0 to indicate no hops), the CBR received by its neighbours (1 hop), and the CBR that its neighbours have forwarded as they in turn received from them their neighbours (2 hops), respectively. </w:t>
      </w:r>
      <w:r w:rsidR="0013056E">
        <w:t xml:space="preserve">CBR_L_1_Hop and CBR_L_2_Hop are conservative values derived from the possibly </w:t>
      </w:r>
      <w:r w:rsidR="00C32F55">
        <w:t xml:space="preserve">several CBR values received from the neighbours, with the specific calculations described in </w:t>
      </w:r>
      <w:r w:rsidR="00C32F55" w:rsidRPr="00960E9B">
        <w:t>ETSI TS 102 636-4-2</w:t>
      </w:r>
      <w:r w:rsidR="00C32F55">
        <w:t xml:space="preserve">, </w:t>
      </w:r>
      <w:r w:rsidR="004A3FC7">
        <w:t>clause</w:t>
      </w:r>
      <w:r w:rsidR="00C32F55">
        <w:t xml:space="preserve"> 5.3.</w:t>
      </w:r>
    </w:p>
    <w:p w14:paraId="266AC422" w14:textId="67CCF3A0" w:rsidR="0013056E" w:rsidRDefault="0026730C">
      <w:r>
        <w:t>CBR_R_0_Hop and CBR_R_1_Hop are the measured CBR shared by the station and the received CBR shared by the station</w:t>
      </w:r>
      <w:r w:rsidR="00C32F55">
        <w:t xml:space="preserve">, calculated as an average of those received from the neighbours. </w:t>
      </w:r>
      <w:r>
        <w:t xml:space="preserve"> </w:t>
      </w:r>
    </w:p>
    <w:p w14:paraId="08B6904A" w14:textId="73B3D537" w:rsidR="00340D78" w:rsidRPr="0013056E" w:rsidRDefault="00C32F55">
      <w:r>
        <w:t>Per each received packet, e</w:t>
      </w:r>
      <w:r w:rsidR="0013056E">
        <w:t xml:space="preserve">ach station stores the </w:t>
      </w:r>
      <w:r w:rsidR="0013056E" w:rsidRPr="0013056E">
        <w:t>CBR_R_0_Hop and CBR_R_1_Hop</w:t>
      </w:r>
      <w:r w:rsidR="0013056E">
        <w:t xml:space="preserve"> received from all the neighbours in the LocTEX-G5</w:t>
      </w:r>
      <w:r>
        <w:t xml:space="preserve">, together with information about transmit power and </w:t>
      </w:r>
      <w:r w:rsidRPr="00207469">
        <w:rPr>
          <w:lang w:eastAsia="en-GB"/>
        </w:rPr>
        <w:t xml:space="preserve">Received </w:t>
      </w:r>
      <w:r>
        <w:rPr>
          <w:lang w:eastAsia="en-GB"/>
        </w:rPr>
        <w:t>S</w:t>
      </w:r>
      <w:r w:rsidRPr="00207469">
        <w:rPr>
          <w:lang w:eastAsia="en-GB"/>
        </w:rPr>
        <w:t>ignal-</w:t>
      </w:r>
      <w:r>
        <w:rPr>
          <w:lang w:eastAsia="en-GB"/>
        </w:rPr>
        <w:t>S</w:t>
      </w:r>
      <w:r w:rsidRPr="00207469">
        <w:rPr>
          <w:lang w:eastAsia="en-GB"/>
        </w:rPr>
        <w:t xml:space="preserve">trength </w:t>
      </w:r>
      <w:r>
        <w:rPr>
          <w:lang w:eastAsia="en-GB"/>
        </w:rPr>
        <w:t>I</w:t>
      </w:r>
      <w:r w:rsidRPr="00207469">
        <w:rPr>
          <w:lang w:eastAsia="en-GB"/>
        </w:rPr>
        <w:t>ndicator RSSI</w:t>
      </w:r>
      <w:r w:rsidR="0013056E">
        <w:t>.</w:t>
      </w:r>
    </w:p>
    <w:p w14:paraId="2C07B479" w14:textId="2702EABA" w:rsidR="0013056E" w:rsidRDefault="00C32F55">
      <w:r>
        <w:t>Each station then calculates the</w:t>
      </w:r>
      <w:r w:rsidR="0013056E">
        <w:t xml:space="preserve"> </w:t>
      </w:r>
      <w:r w:rsidR="0013056E" w:rsidRPr="00207469">
        <w:rPr>
          <w:i/>
        </w:rPr>
        <w:t>global CBR</w:t>
      </w:r>
      <w:r>
        <w:t xml:space="preserve"> CBR_G</w:t>
      </w:r>
      <w:r w:rsidR="0013056E">
        <w:t xml:space="preserve"> based on </w:t>
      </w:r>
      <w:r w:rsidR="0013056E" w:rsidRPr="00207469">
        <w:t>CBR_L_0_Hop, CBR_L_1_Hop, and CBR_L_2_Hop</w:t>
      </w:r>
      <w:r>
        <w:t xml:space="preserve">, which are in turn evaluated as a function of all received </w:t>
      </w:r>
      <w:r w:rsidRPr="0013056E">
        <w:t>CBR_R_0_Hop and CBR_R_1_Hop</w:t>
      </w:r>
      <w:r w:rsidR="0013056E">
        <w:t>.</w:t>
      </w:r>
      <w:r>
        <w:t xml:space="preserve"> CBR_G</w:t>
      </w:r>
      <w:r w:rsidR="0013056E">
        <w:t xml:space="preserve"> </w:t>
      </w:r>
      <w:r>
        <w:t xml:space="preserve">is conservatively calculated, as detailed in </w:t>
      </w:r>
      <w:r w:rsidRPr="00960E9B">
        <w:t>ETSI TS 102 636-4-2</w:t>
      </w:r>
      <w:r>
        <w:t xml:space="preserve">, </w:t>
      </w:r>
      <w:r w:rsidR="004A3FC7">
        <w:t>clause</w:t>
      </w:r>
      <w:r>
        <w:t xml:space="preserve"> 5.3.</w:t>
      </w:r>
      <w:r w:rsidR="007649AD">
        <w:t xml:space="preserve"> These calculations are performed every 100 ms.</w:t>
      </w:r>
    </w:p>
    <w:p w14:paraId="460CFC5A" w14:textId="0837EE71" w:rsidR="0026730C" w:rsidRDefault="0013056E">
      <w:r>
        <w:t>CBR_Target is finally the value used by DCC as target</w:t>
      </w:r>
      <w:r w:rsidR="007649AD">
        <w:t>,</w:t>
      </w:r>
      <w:r>
        <w:t xml:space="preserve"> </w:t>
      </w:r>
      <w:r w:rsidR="007649AD">
        <w:t>which</w:t>
      </w:r>
      <w:r>
        <w:t xml:space="preserve"> needs to be the same as the one used at the access layer</w:t>
      </w:r>
      <w:r w:rsidR="002879DD">
        <w:t>; currently, it is set to 0.62</w:t>
      </w:r>
      <w:r>
        <w:t>.</w:t>
      </w:r>
      <w:r w:rsidR="007649AD">
        <w:t xml:space="preserve"> The value of CBR_Target is used </w:t>
      </w:r>
      <w:r w:rsidR="000C11A1">
        <w:t xml:space="preserve">during </w:t>
      </w:r>
      <w:r w:rsidR="007649AD">
        <w:t>the calculation of CBR_G.</w:t>
      </w:r>
    </w:p>
    <w:p w14:paraId="55E1CF88" w14:textId="76949F1A" w:rsidR="005763B7" w:rsidRPr="005763B7" w:rsidRDefault="005763B7" w:rsidP="00F140CF">
      <w:pPr>
        <w:pStyle w:val="Heading3"/>
        <w:numPr>
          <w:ilvl w:val="2"/>
          <w:numId w:val="11"/>
        </w:numPr>
        <w:ind w:left="1134"/>
      </w:pPr>
      <w:bookmarkStart w:id="183" w:name="_Toc197337017"/>
      <w:r>
        <w:t>Release 1 DCC at the facilities layer</w:t>
      </w:r>
      <w:bookmarkEnd w:id="183"/>
    </w:p>
    <w:p w14:paraId="1171157B" w14:textId="108FB7CB" w:rsidR="00255B87" w:rsidRPr="00207469" w:rsidRDefault="000C11A1" w:rsidP="00026415">
      <w:r>
        <w:t xml:space="preserve">The overall DCC architecture detailed in </w:t>
      </w:r>
      <w:r w:rsidRPr="000C11A1">
        <w:t>ETSI TS 103</w:t>
      </w:r>
      <w:r>
        <w:t> </w:t>
      </w:r>
      <w:r w:rsidRPr="000C11A1">
        <w:t>175</w:t>
      </w:r>
      <w:r>
        <w:t xml:space="preserve">, includes at the facilities layer a DCC_FAC function. </w:t>
      </w:r>
      <w:r w:rsidR="00873EA7">
        <w:t xml:space="preserve">However, DCC_FAC </w:t>
      </w:r>
      <w:r>
        <w:t xml:space="preserve">was </w:t>
      </w:r>
      <w:r w:rsidR="00873EA7">
        <w:t xml:space="preserve">not </w:t>
      </w:r>
      <w:r>
        <w:t xml:space="preserve">eventually </w:t>
      </w:r>
      <w:r w:rsidR="00873EA7">
        <w:t>defined</w:t>
      </w:r>
      <w:r>
        <w:t xml:space="preserve"> in Release 1. </w:t>
      </w:r>
    </w:p>
    <w:p w14:paraId="7F14F154" w14:textId="03C9E337" w:rsidR="00A7335E" w:rsidRDefault="001A4042" w:rsidP="00F140CF">
      <w:pPr>
        <w:pStyle w:val="Heading2"/>
        <w:numPr>
          <w:ilvl w:val="1"/>
          <w:numId w:val="11"/>
        </w:numPr>
        <w:ind w:left="1134"/>
      </w:pPr>
      <w:bookmarkStart w:id="184" w:name="_Toc197337018"/>
      <w:bookmarkStart w:id="185" w:name="_Ref184289139"/>
      <w:r>
        <w:t xml:space="preserve">Critical analysis of </w:t>
      </w:r>
      <w:r w:rsidR="00A7335E">
        <w:t xml:space="preserve">Release 1 </w:t>
      </w:r>
      <w:r>
        <w:t>DCC</w:t>
      </w:r>
      <w:bookmarkEnd w:id="184"/>
      <w:r>
        <w:t xml:space="preserve"> </w:t>
      </w:r>
      <w:bookmarkEnd w:id="185"/>
    </w:p>
    <w:p w14:paraId="29D20BA4" w14:textId="0B29232A" w:rsidR="00340D78" w:rsidRPr="005763B7" w:rsidRDefault="00340D78" w:rsidP="00F140CF">
      <w:pPr>
        <w:pStyle w:val="Heading3"/>
        <w:numPr>
          <w:ilvl w:val="2"/>
          <w:numId w:val="11"/>
        </w:numPr>
        <w:ind w:left="1134"/>
      </w:pPr>
      <w:bookmarkStart w:id="186" w:name="_Toc197337019"/>
      <w:r>
        <w:t>Introduction</w:t>
      </w:r>
      <w:bookmarkEnd w:id="186"/>
    </w:p>
    <w:p w14:paraId="238C70BA" w14:textId="5E6D0ABA" w:rsidR="00A7335E" w:rsidRDefault="00F8778B" w:rsidP="00026415">
      <w:r w:rsidRPr="00F8778B">
        <w:t xml:space="preserve">In this </w:t>
      </w:r>
      <w:r w:rsidR="004A3FC7">
        <w:t>clause</w:t>
      </w:r>
      <w:r w:rsidRPr="00F8778B">
        <w:t xml:space="preserve">, </w:t>
      </w:r>
      <w:r w:rsidR="00F83594">
        <w:t xml:space="preserve">an analysis is conducted of </w:t>
      </w:r>
      <w:r w:rsidRPr="00F8778B">
        <w:t xml:space="preserve">the main aspects that </w:t>
      </w:r>
      <w:r w:rsidR="00F83594">
        <w:t xml:space="preserve">could be </w:t>
      </w:r>
      <w:r w:rsidR="00F83594" w:rsidRPr="00F8778B">
        <w:t>revis</w:t>
      </w:r>
      <w:r w:rsidR="00F83594">
        <w:t>ed</w:t>
      </w:r>
      <w:r w:rsidR="00F83594" w:rsidRPr="00F8778B">
        <w:t xml:space="preserve"> </w:t>
      </w:r>
      <w:r w:rsidRPr="00F8778B">
        <w:t>in Release 2</w:t>
      </w:r>
      <w:r>
        <w:t>.</w:t>
      </w:r>
      <w:r w:rsidR="00A7335E">
        <w:t xml:space="preserve"> </w:t>
      </w:r>
    </w:p>
    <w:p w14:paraId="3DC4CF33" w14:textId="0DEFA5B4" w:rsidR="00F83594" w:rsidRPr="005763B7" w:rsidRDefault="00F83594" w:rsidP="00F140CF">
      <w:pPr>
        <w:pStyle w:val="Heading3"/>
        <w:numPr>
          <w:ilvl w:val="2"/>
          <w:numId w:val="11"/>
        </w:numPr>
        <w:ind w:left="1134"/>
      </w:pPr>
      <w:bookmarkStart w:id="187" w:name="_Ref186816368"/>
      <w:bookmarkStart w:id="188" w:name="_Toc197337020"/>
      <w:r>
        <w:t>Analysis of the limit</w:t>
      </w:r>
      <w:bookmarkEnd w:id="187"/>
      <w:bookmarkEnd w:id="188"/>
    </w:p>
    <w:p w14:paraId="02A91EB8" w14:textId="62FF0F54" w:rsidR="00F83594" w:rsidRDefault="005506B3" w:rsidP="00026415">
      <w:r>
        <w:t xml:space="preserve">When looking at the single generic channel, the limit imposed in Release 1 </w:t>
      </w:r>
      <w:r w:rsidR="00F83594">
        <w:t xml:space="preserve">implies restrictions when the CBR exceeds </w:t>
      </w:r>
      <w:r w:rsidR="00946EB8">
        <w:t>0.62</w:t>
      </w:r>
      <w:r w:rsidR="00F83594">
        <w:t xml:space="preserve">. This number, which was chosen </w:t>
      </w:r>
      <w:r w:rsidR="00946EB8">
        <w:t xml:space="preserve">having </w:t>
      </w:r>
      <w:r w:rsidR="00F83594">
        <w:t xml:space="preserve">a few services and relatively small messages in mind, appears lower than the maximum channel load tolerated in ITS-G5. It appears </w:t>
      </w:r>
      <w:r w:rsidR="00946EB8">
        <w:t xml:space="preserve">therefore </w:t>
      </w:r>
      <w:r w:rsidR="00F83594">
        <w:t>reasonable to verify if such value is still a good choice or it should be revised</w:t>
      </w:r>
      <w:r w:rsidR="00946EB8">
        <w:t xml:space="preserve"> once moving to Release 2</w:t>
      </w:r>
      <w:r w:rsidR="00F83594">
        <w:t xml:space="preserve">. It can be </w:t>
      </w:r>
      <w:r w:rsidR="00207469">
        <w:t>Note</w:t>
      </w:r>
      <w:r w:rsidR="00F83594">
        <w:t xml:space="preserve">d that an increase of the limit would </w:t>
      </w:r>
      <w:r w:rsidR="00946EB8">
        <w:t>mean that the</w:t>
      </w:r>
      <w:r w:rsidR="00F83594">
        <w:t xml:space="preserve"> already enrolled devices</w:t>
      </w:r>
      <w:r w:rsidR="00946EB8">
        <w:t xml:space="preserve"> still comply</w:t>
      </w:r>
      <w:r w:rsidR="00F83594">
        <w:t xml:space="preserve">, while a reduction of the limit would need to include exceptions for the devices implemented </w:t>
      </w:r>
      <w:r w:rsidR="00340D78">
        <w:t xml:space="preserve">following the specifications in </w:t>
      </w:r>
      <w:r w:rsidR="00F83594">
        <w:t>Release 1.</w:t>
      </w:r>
      <w:r w:rsidR="00946EB8">
        <w:t xml:space="preserve"> </w:t>
      </w:r>
    </w:p>
    <w:p w14:paraId="78586A83" w14:textId="364F7CEB" w:rsidR="004F5EE4" w:rsidRPr="00207469" w:rsidRDefault="00F83594" w:rsidP="00026415">
      <w:r w:rsidRPr="004F5EE4">
        <w:t xml:space="preserve">With the aim to investigate this aspect, </w:t>
      </w:r>
      <w:r w:rsidR="00946EB8" w:rsidRPr="004F5EE4">
        <w:t xml:space="preserve">a </w:t>
      </w:r>
      <w:r w:rsidR="00946EB8" w:rsidRPr="00071E55">
        <w:t xml:space="preserve">simulation campaign was performed using the open-source WiLabV2Xsim </w:t>
      </w:r>
      <w:r w:rsidR="00071E55" w:rsidRPr="00071E55">
        <w:fldChar w:fldCharType="begin"/>
      </w:r>
      <w:r w:rsidR="00071E55" w:rsidRPr="00071E55">
        <w:instrText xml:space="preserve"> REF WiLabV2Xsim \h  \* MERGEFORMAT </w:instrText>
      </w:r>
      <w:r w:rsidR="00071E55" w:rsidRPr="00071E55">
        <w:fldChar w:fldCharType="separate"/>
      </w:r>
      <w:r w:rsidR="00071E55" w:rsidRPr="00207469">
        <w:t>[i.19]</w:t>
      </w:r>
      <w:r w:rsidR="00071E55" w:rsidRPr="00071E55">
        <w:fldChar w:fldCharType="end"/>
      </w:r>
      <w:r w:rsidR="00946EB8" w:rsidRPr="00071E55">
        <w:t xml:space="preserve"> Selected results are shown hereafter assuming a variable number of cars distributed on a highway</w:t>
      </w:r>
      <w:r w:rsidR="00C62D90" w:rsidRPr="00071E55">
        <w:t xml:space="preserve"> segment of 8 km </w:t>
      </w:r>
      <w:r w:rsidR="00946EB8" w:rsidRPr="00071E55">
        <w:t>with 3 lanes per direction</w:t>
      </w:r>
      <w:r w:rsidR="00340D78" w:rsidRPr="00071E55">
        <w:t>. The simulations are intended to obtain general considerations without focusing on a specific service; for this reason,</w:t>
      </w:r>
      <w:r w:rsidR="00946EB8" w:rsidRPr="00071E55">
        <w:t xml:space="preserve"> each vehicle </w:t>
      </w:r>
      <w:r w:rsidR="00340D78" w:rsidRPr="00071E55">
        <w:t xml:space="preserve">is assumed to </w:t>
      </w:r>
      <w:r w:rsidR="00946EB8" w:rsidRPr="00071E55">
        <w:t xml:space="preserve">transmit 10 </w:t>
      </w:r>
      <w:r w:rsidR="00CD58F7">
        <w:t xml:space="preserve">packets </w:t>
      </w:r>
      <w:r w:rsidR="00946EB8" w:rsidRPr="00071E55">
        <w:t>per second</w:t>
      </w:r>
      <w:r w:rsidR="00340D78" w:rsidRPr="00071E55">
        <w:t xml:space="preserve">, </w:t>
      </w:r>
      <w:r w:rsidR="00CD58F7">
        <w:t>and</w:t>
      </w:r>
      <w:r w:rsidR="00CD58F7" w:rsidRPr="00071E55">
        <w:t xml:space="preserve"> </w:t>
      </w:r>
      <w:r w:rsidR="00340D78" w:rsidRPr="00071E55">
        <w:t>a</w:t>
      </w:r>
      <w:r w:rsidR="00946EB8" w:rsidRPr="00071E55">
        <w:t xml:space="preserve">ll </w:t>
      </w:r>
      <w:r w:rsidR="00CD58F7">
        <w:t xml:space="preserve">packets </w:t>
      </w:r>
      <w:r w:rsidR="00946EB8" w:rsidRPr="00071E55">
        <w:t xml:space="preserve">are of the same size but </w:t>
      </w:r>
      <w:r w:rsidR="00340D78" w:rsidRPr="00071E55">
        <w:t xml:space="preserve">with </w:t>
      </w:r>
      <w:r w:rsidR="00946EB8" w:rsidRPr="00071E55">
        <w:t>different sizes assumed.</w:t>
      </w:r>
      <w:r w:rsidR="007B3DA8" w:rsidRPr="00071E55">
        <w:t xml:space="preserve"> </w:t>
      </w:r>
      <w:r w:rsidR="004F5EE4" w:rsidRPr="00071E55">
        <w:t>In particular, 350, 550, and 1000 bytes are considered, where the first value is a reasonable reference for Release 1 messages and the last one for larger Release 2 messages.</w:t>
      </w:r>
      <w:r w:rsidR="00ED319B">
        <w:t xml:space="preserve"> These three values correspond to a duty cycle of approximately </w:t>
      </w:r>
      <w:r w:rsidR="00ED319B" w:rsidRPr="00ED319B">
        <w:t>0.58</w:t>
      </w:r>
      <w:r w:rsidR="00ED319B">
        <w:t>, 0.84,</w:t>
      </w:r>
      <w:r w:rsidR="00ED319B" w:rsidRPr="00ED319B">
        <w:t xml:space="preserve"> or 1.44%</w:t>
      </w:r>
      <w:r w:rsidR="00ED319B">
        <w:t>.</w:t>
      </w:r>
    </w:p>
    <w:p w14:paraId="49D6E1F7" w14:textId="0103808A" w:rsidR="007B3DA8" w:rsidRPr="00207469" w:rsidRDefault="007B3DA8" w:rsidP="00026415">
      <w:r w:rsidRPr="00071E55">
        <w:t xml:space="preserve">ITS-G5 nodes are assumed to transmit at 23 dBm </w:t>
      </w:r>
      <w:r w:rsidR="007F04E1" w:rsidRPr="007F04E1">
        <w:t xml:space="preserve">Effective </w:t>
      </w:r>
      <w:r w:rsidR="00CD58F7">
        <w:t>Isotropic</w:t>
      </w:r>
      <w:r w:rsidR="007F04E1" w:rsidRPr="007F04E1">
        <w:t xml:space="preserve"> Radiated Power </w:t>
      </w:r>
      <w:r w:rsidR="007F04E1">
        <w:t>(</w:t>
      </w:r>
      <w:r w:rsidRPr="00071E55">
        <w:t>EIRP</w:t>
      </w:r>
      <w:r w:rsidR="007F04E1">
        <w:t>)</w:t>
      </w:r>
      <w:r w:rsidRPr="00071E55">
        <w:t>, with 3 dBi antenna gain at the receiver, and</w:t>
      </w:r>
      <w:r w:rsidR="004F5EE4" w:rsidRPr="00071E55">
        <w:t xml:space="preserve"> </w:t>
      </w:r>
      <w:r w:rsidRPr="00071E55">
        <w:t xml:space="preserve">6 dB receiver noise figure. The access category Best Effort (BE) is adopted, corresponding to </w:t>
      </w:r>
      <w:r w:rsidR="007F04E1">
        <w:t>Arbitration Inter</w:t>
      </w:r>
      <w:r w:rsidR="00CD58F7">
        <w:t>-F</w:t>
      </w:r>
      <w:r w:rsidR="007F04E1">
        <w:t>rame Spacing (</w:t>
      </w:r>
      <w:r w:rsidRPr="00071E55">
        <w:t>AIFS</w:t>
      </w:r>
      <w:r w:rsidR="007F04E1">
        <w:t>)</w:t>
      </w:r>
      <w:r w:rsidRPr="00071E55">
        <w:t xml:space="preserve"> equal to 110 us, </w:t>
      </w:r>
      <w:r w:rsidR="00CD58F7">
        <w:t>Congestion Window</w:t>
      </w:r>
      <w:r w:rsidR="007F04E1">
        <w:t xml:space="preserve"> (</w:t>
      </w:r>
      <w:r w:rsidRPr="00071E55">
        <w:t>CW</w:t>
      </w:r>
      <w:r w:rsidR="007F04E1">
        <w:t>)</w:t>
      </w:r>
      <w:r w:rsidRPr="00071E55">
        <w:t xml:space="preserve"> equal to 15. The sensing threshold, when a preamble is detected, is set to -85 dBm, whereas it is set to -65 dBm otherwise. The modulation and coding scheme corresponding to </w:t>
      </w:r>
      <w:r w:rsidR="007F04E1" w:rsidRPr="007F04E1">
        <w:t>Quadrature Phase Shift Keying (QPSK)</w:t>
      </w:r>
      <w:r w:rsidR="00CD58F7" w:rsidRPr="00071E55">
        <w:t xml:space="preserve"> </w:t>
      </w:r>
      <w:r w:rsidRPr="00071E55">
        <w:t xml:space="preserve">and ½ coding rate is assumed. The modified </w:t>
      </w:r>
      <w:r w:rsidR="00935420" w:rsidRPr="00935420">
        <w:t xml:space="preserve">Electronic Communications Committee </w:t>
      </w:r>
      <w:r w:rsidR="00935420">
        <w:t>(</w:t>
      </w:r>
      <w:r w:rsidRPr="00071E55">
        <w:t>ECC</w:t>
      </w:r>
      <w:r w:rsidR="00935420">
        <w:t>)</w:t>
      </w:r>
      <w:r w:rsidRPr="00071E55">
        <w:t xml:space="preserve"> rural model from ETSI TR 103 439 is used for the propagation, with correlated shadowing with standard deviation </w:t>
      </w:r>
      <w:r w:rsidR="00340D78" w:rsidRPr="00071E55">
        <w:t>3</w:t>
      </w:r>
      <w:r w:rsidR="007F2F31" w:rsidRPr="00071E55">
        <w:t> </w:t>
      </w:r>
      <w:r w:rsidRPr="00071E55">
        <w:t>dB.</w:t>
      </w:r>
      <w:r w:rsidR="00340D78" w:rsidRPr="00071E55">
        <w:t xml:space="preserve"> The model implies a loss exponent of 2 up to 128 m, then 2.8 up to 512 m, and 3.3 above 512 m.</w:t>
      </w:r>
    </w:p>
    <w:p w14:paraId="7E7CA530" w14:textId="5D225420" w:rsidR="004F5EE4" w:rsidRPr="00071E55" w:rsidRDefault="004F5EE4" w:rsidP="00026415">
      <w:r w:rsidRPr="00071E55">
        <w:t xml:space="preserve">To evaluate the correctness decoding of each received signal, the average </w:t>
      </w:r>
      <w:r w:rsidR="00CD58F7">
        <w:t>S</w:t>
      </w:r>
      <w:r w:rsidR="00CD58F7" w:rsidRPr="00071E55">
        <w:t xml:space="preserve">ignal </w:t>
      </w:r>
      <w:r w:rsidRPr="00071E55">
        <w:t xml:space="preserve">to </w:t>
      </w:r>
      <w:r w:rsidR="00CD58F7">
        <w:t>N</w:t>
      </w:r>
      <w:r w:rsidR="00CD58F7" w:rsidRPr="00071E55">
        <w:t xml:space="preserve">oise </w:t>
      </w:r>
      <w:r w:rsidRPr="00071E55">
        <w:t xml:space="preserve">and </w:t>
      </w:r>
      <w:r w:rsidR="00CD58F7">
        <w:t>I</w:t>
      </w:r>
      <w:r w:rsidR="00CD58F7" w:rsidRPr="00071E55">
        <w:t xml:space="preserve">nterference </w:t>
      </w:r>
      <w:r w:rsidR="00CD58F7">
        <w:t>R</w:t>
      </w:r>
      <w:r w:rsidR="00CD58F7" w:rsidRPr="00071E55">
        <w:t xml:space="preserve">atio </w:t>
      </w:r>
      <w:r w:rsidRPr="00071E55">
        <w:t xml:space="preserve">(SINR) is calculated, where both noise and interference are assumed Gaussian and white. The reception is identified as correct when the SINR is above a given threshold as elaborated in </w:t>
      </w:r>
      <w:r w:rsidR="00434AB8" w:rsidRPr="00071E55">
        <w:t>“Methodology for Abstracting the Physical Layer of Direct V2X Communications Technologies”</w:t>
      </w:r>
      <w:r w:rsidR="00071E55" w:rsidRPr="00071E55">
        <w:t xml:space="preserve"> </w:t>
      </w:r>
      <w:r w:rsidR="00071E55" w:rsidRPr="00071E55">
        <w:fldChar w:fldCharType="begin"/>
      </w:r>
      <w:r w:rsidR="00071E55" w:rsidRPr="00071E55">
        <w:instrText xml:space="preserve"> REF MethAbstractPhyLayer_directV2X_Comm \h  \* MERGEFORMAT </w:instrText>
      </w:r>
      <w:r w:rsidR="00071E55" w:rsidRPr="00071E55">
        <w:fldChar w:fldCharType="separate"/>
      </w:r>
      <w:r w:rsidR="00071E55" w:rsidRPr="00207469">
        <w:t>[i.20]</w:t>
      </w:r>
      <w:r w:rsidR="00071E55" w:rsidRPr="00071E55">
        <w:fldChar w:fldCharType="end"/>
      </w:r>
      <w:r w:rsidRPr="00071E55">
        <w:t xml:space="preserve"> Following the approach detailed in the same reference, the threshold is set to 1.2, 1.9, and 2.4, for 350, 550, and 1000 bytes, respectively.</w:t>
      </w:r>
    </w:p>
    <w:p w14:paraId="2130ED6F" w14:textId="440221BE" w:rsidR="009E1247" w:rsidRPr="009E1247" w:rsidRDefault="009E1247" w:rsidP="0010571F">
      <w:r w:rsidRPr="00071E55">
        <w:t>Results are provided in terms of measured CBR</w:t>
      </w:r>
      <w:r w:rsidR="00F45DBF" w:rsidRPr="00071E55">
        <w:t>,</w:t>
      </w:r>
      <w:r w:rsidRPr="00071E55">
        <w:t xml:space="preserve"> </w:t>
      </w:r>
      <w:r w:rsidR="00CD58F7">
        <w:t>Packet R</w:t>
      </w:r>
      <w:r w:rsidR="00CD58F7" w:rsidRPr="00071E55">
        <w:t>eception</w:t>
      </w:r>
      <w:r w:rsidR="00CD58F7">
        <w:t xml:space="preserve"> Ratio (PRR) </w:t>
      </w:r>
      <w:r w:rsidR="00F45DBF">
        <w:t xml:space="preserve">and </w:t>
      </w:r>
      <w:r w:rsidR="00CD58F7">
        <w:t>Packet Error Ratio (PER)</w:t>
      </w:r>
      <w:r>
        <w:t xml:space="preserve">. The </w:t>
      </w:r>
      <w:r w:rsidR="00CD58F7">
        <w:t>PRR</w:t>
      </w:r>
      <w:r w:rsidR="00F45DBF">
        <w:t xml:space="preserve"> </w:t>
      </w:r>
      <w:r>
        <w:t xml:space="preserve">is obtained dividing the number of correctly decoded </w:t>
      </w:r>
      <w:r w:rsidR="00CD58F7">
        <w:t xml:space="preserve">packets </w:t>
      </w:r>
      <w:r>
        <w:t xml:space="preserve">to the number of </w:t>
      </w:r>
      <w:r w:rsidR="00CD58F7">
        <w:t xml:space="preserve">packets </w:t>
      </w:r>
      <w:r>
        <w:t>attempted to be decoded.</w:t>
      </w:r>
      <w:r w:rsidR="00F45DBF">
        <w:t xml:space="preserve"> </w:t>
      </w:r>
      <w:r w:rsidR="00CD58F7">
        <w:t xml:space="preserve">The PER </w:t>
      </w:r>
      <w:r w:rsidR="00F45DBF">
        <w:t xml:space="preserve">is the complementary value, i.e., the number of </w:t>
      </w:r>
      <w:r w:rsidR="00CD58F7">
        <w:t xml:space="preserve">packets </w:t>
      </w:r>
      <w:r w:rsidR="00F45DBF">
        <w:t xml:space="preserve">not correctly decoded divided by the number of </w:t>
      </w:r>
      <w:r w:rsidR="00CD58F7">
        <w:t xml:space="preserve">packets </w:t>
      </w:r>
      <w:r w:rsidR="00F45DBF">
        <w:t>attempted to be decoded.</w:t>
      </w:r>
      <w:r>
        <w:t xml:space="preserve"> </w:t>
      </w:r>
    </w:p>
    <w:p w14:paraId="16C04722" w14:textId="5EC6565D" w:rsidR="0020293A" w:rsidRPr="0020293A" w:rsidRDefault="00C62D90" w:rsidP="0010571F">
      <w:r>
        <w:fldChar w:fldCharType="begin"/>
      </w:r>
      <w:r>
        <w:instrText xml:space="preserve"> REF _Ref184301230 \h </w:instrText>
      </w:r>
      <w:r w:rsidR="0010571F">
        <w:instrText xml:space="preserve"> \* MERGEFORMAT </w:instrText>
      </w:r>
      <w:r>
        <w:fldChar w:fldCharType="separate"/>
      </w:r>
      <w:r w:rsidRPr="00191F27">
        <w:t xml:space="preserve">Figure </w:t>
      </w:r>
      <w:r>
        <w:rPr>
          <w:noProof/>
        </w:rPr>
        <w:t>2</w:t>
      </w:r>
      <w:r>
        <w:fldChar w:fldCharType="end"/>
      </w:r>
      <w:r>
        <w:t xml:space="preserve"> represents the CBR varying the density and with different </w:t>
      </w:r>
      <w:r w:rsidR="00CD58F7">
        <w:t xml:space="preserve">packet </w:t>
      </w:r>
      <w:r>
        <w:t>size. More specifically, it shows the median (i.e., the 50</w:t>
      </w:r>
      <w:r w:rsidRPr="005E0032">
        <w:rPr>
          <w:vertAlign w:val="superscript"/>
        </w:rPr>
        <w:t>th</w:t>
      </w:r>
      <w:r>
        <w:t xml:space="preserve"> percentile) of the distribution of the CBR measured in each interval by each station. As expected, the CBR increases almost linearly for low densities where collisions are limited and then slower when collisions become frequent. Also as expected is that the increase is faster with larger </w:t>
      </w:r>
      <w:r w:rsidR="00CD58F7">
        <w:t>packets</w:t>
      </w:r>
      <w:r>
        <w:t xml:space="preserve">. What is </w:t>
      </w:r>
      <w:r w:rsidR="009E1247">
        <w:t xml:space="preserve">instead less obvious and therefore </w:t>
      </w:r>
      <w:r>
        <w:t xml:space="preserve">relevant to remark is that </w:t>
      </w:r>
      <w:r w:rsidR="009E1247">
        <w:t xml:space="preserve">slower increase in CBR occurs at larger CBR values when the </w:t>
      </w:r>
      <w:r w:rsidR="00CD58F7">
        <w:t xml:space="preserve">packets </w:t>
      </w:r>
      <w:r w:rsidR="009E1247">
        <w:t xml:space="preserve">are larger; this effect is due to </w:t>
      </w:r>
      <w:r>
        <w:t>the lower relative impact of the inter-frame spaces</w:t>
      </w:r>
      <w:r w:rsidR="009E1247">
        <w:t xml:space="preserve"> when the </w:t>
      </w:r>
      <w:r w:rsidR="00CD58F7">
        <w:t xml:space="preserve">packets </w:t>
      </w:r>
      <w:r w:rsidR="009E1247">
        <w:t>are larger.</w:t>
      </w:r>
    </w:p>
    <w:p w14:paraId="758EDDA1" w14:textId="3F300CA9" w:rsidR="004F5EE4" w:rsidRDefault="00F52C92" w:rsidP="00B92FB9">
      <w:pPr>
        <w:jc w:val="center"/>
      </w:pPr>
      <w:r>
        <w:rPr>
          <w:noProof/>
        </w:rPr>
        <w:pict w14:anchorId="0F2A0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9.8pt;height:169.2pt;mso-width-percent:0;mso-height-percent:0;mso-width-percent:0;mso-height-percent:0">
            <v:imagedata r:id="rId22" o:title="Fig_CBR_vs_density"/>
          </v:shape>
        </w:pict>
      </w:r>
    </w:p>
    <w:p w14:paraId="429E305C" w14:textId="175208A1" w:rsidR="00C62D90" w:rsidRPr="0027479C" w:rsidRDefault="00C62D90" w:rsidP="00C62D90">
      <w:pPr>
        <w:pStyle w:val="Caption"/>
        <w:jc w:val="center"/>
      </w:pPr>
      <w:bookmarkStart w:id="189" w:name="_Ref184301230"/>
      <w:r w:rsidRPr="00191F27">
        <w:t xml:space="preserve">Figure </w:t>
      </w:r>
      <w:r w:rsidR="00115785">
        <w:fldChar w:fldCharType="begin"/>
      </w:r>
      <w:r w:rsidR="00115785">
        <w:instrText xml:space="preserve"> SEQ Figure \* ARABIC </w:instrText>
      </w:r>
      <w:r w:rsidR="00115785">
        <w:fldChar w:fldCharType="separate"/>
      </w:r>
      <w:r w:rsidR="00115785">
        <w:rPr>
          <w:noProof/>
        </w:rPr>
        <w:t>2</w:t>
      </w:r>
      <w:r w:rsidR="00115785">
        <w:rPr>
          <w:noProof/>
        </w:rPr>
        <w:fldChar w:fldCharType="end"/>
      </w:r>
      <w:bookmarkEnd w:id="189"/>
      <w:r w:rsidRPr="00191F27">
        <w:t>:</w:t>
      </w:r>
      <w:r>
        <w:t xml:space="preserve"> median of the CBR varying the density</w:t>
      </w:r>
    </w:p>
    <w:p w14:paraId="2EA04FC6" w14:textId="096376D0" w:rsidR="009E1247" w:rsidRDefault="009E1247" w:rsidP="00B92FB9"/>
    <w:p w14:paraId="7273E8F8" w14:textId="65FE4846" w:rsidR="0020293A" w:rsidRDefault="009E1247" w:rsidP="0010571F">
      <w:r>
        <w:t xml:space="preserve">In </w:t>
      </w:r>
      <w:r>
        <w:fldChar w:fldCharType="begin"/>
      </w:r>
      <w:r>
        <w:instrText xml:space="preserve"> REF _Ref184301850 \h </w:instrText>
      </w:r>
      <w:r w:rsidR="0010571F">
        <w:instrText xml:space="preserve"> \* MERGEFORMAT </w:instrText>
      </w:r>
      <w:r>
        <w:fldChar w:fldCharType="separate"/>
      </w:r>
      <w:r w:rsidRPr="00191F27">
        <w:t xml:space="preserve">Figure </w:t>
      </w:r>
      <w:r>
        <w:rPr>
          <w:noProof/>
        </w:rPr>
        <w:t>3</w:t>
      </w:r>
      <w:r>
        <w:fldChar w:fldCharType="end"/>
      </w:r>
      <w:r>
        <w:t xml:space="preserve">, the median CBR is shown in the x-axis and the </w:t>
      </w:r>
      <w:r w:rsidR="00CD58F7">
        <w:t>PRR</w:t>
      </w:r>
      <w:r w:rsidR="00F45DBF">
        <w:t xml:space="preserve"> is plotted in the y-axis, when implicitly varying the density</w:t>
      </w:r>
      <w:r>
        <w:t xml:space="preserve">. Specifically, the </w:t>
      </w:r>
      <w:r w:rsidR="00CD58F7">
        <w:t>PRR</w:t>
      </w:r>
      <w:r w:rsidR="00F45DBF">
        <w:t xml:space="preserve"> is calculated as an average </w:t>
      </w:r>
      <w:r w:rsidR="00D4175A">
        <w:t>at a</w:t>
      </w:r>
      <w:r>
        <w:t xml:space="preserve"> distance of 400 m</w:t>
      </w:r>
      <w:r w:rsidR="00F45DBF">
        <w:t xml:space="preserve"> between transmitter and receiver</w:t>
      </w:r>
      <w:r>
        <w:t xml:space="preserve">. These results further show that the maximum CBR that can be tolerated changes when different </w:t>
      </w:r>
      <w:r w:rsidR="00CD58F7">
        <w:t xml:space="preserve">packet </w:t>
      </w:r>
      <w:r>
        <w:t>size is assumed</w:t>
      </w:r>
      <w:r w:rsidR="00F45DBF">
        <w:t xml:space="preserve">, with a higher CBR corresponding to a larger </w:t>
      </w:r>
      <w:r w:rsidR="00CD58F7">
        <w:t xml:space="preserve">packet </w:t>
      </w:r>
      <w:r w:rsidR="00F45DBF">
        <w:t xml:space="preserve">if the same </w:t>
      </w:r>
      <w:r w:rsidR="00CD58F7">
        <w:t>P</w:t>
      </w:r>
      <w:r w:rsidR="0007732C">
        <w:t>R</w:t>
      </w:r>
      <w:r w:rsidR="00CD58F7">
        <w:t>R</w:t>
      </w:r>
      <w:r w:rsidR="00F45DBF">
        <w:t xml:space="preserve"> is assumed. This means that the larger </w:t>
      </w:r>
      <w:r w:rsidR="0007732C">
        <w:t xml:space="preserve">packets </w:t>
      </w:r>
      <w:r w:rsidR="00F45DBF">
        <w:t>expected in Release 2 may allow to increase the limit for congestion control</w:t>
      </w:r>
      <w:r>
        <w:t>.</w:t>
      </w:r>
      <w:r w:rsidR="00F45DBF">
        <w:t xml:space="preserve"> However, the increase appears limited.</w:t>
      </w:r>
    </w:p>
    <w:p w14:paraId="57C83522" w14:textId="429EB21F" w:rsidR="0020293A" w:rsidRDefault="0007732C" w:rsidP="00B92FB9">
      <w:pPr>
        <w:jc w:val="center"/>
      </w:pPr>
      <w:r>
        <w:rPr>
          <w:noProof/>
          <w:lang w:val="it-IT" w:eastAsia="it-IT"/>
        </w:rPr>
        <w:drawing>
          <wp:inline distT="0" distB="0" distL="0" distR="0" wp14:anchorId="675D3BB0" wp14:editId="3D525292">
            <wp:extent cx="2880000" cy="2160000"/>
            <wp:effectExtent l="0" t="0" r="0" b="0"/>
            <wp:docPr id="1" name="Immagine 1" descr="C:\Users\Alessandro Bazzi\OneDrive - Alma Mater Studiorum Università di Bologna\Progetti\Progetti attivi\61_STF_MCO_control\11_Riunione 9 gennaio 2025\SimsMCO\Fig_PRR_vs_CBR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ssandro Bazzi\OneDrive - Alma Mater Studiorum Università di Bologna\Progetti\Progetti attivi\61_STF_MCO_control\11_Riunione 9 gennaio 2025\SimsMCO\Fig_PRR_vs_CBR_at400.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D831371" w14:textId="01C907F2" w:rsidR="009E1247" w:rsidRPr="0027479C" w:rsidRDefault="009E1247" w:rsidP="009E1247">
      <w:pPr>
        <w:pStyle w:val="Caption"/>
        <w:jc w:val="center"/>
      </w:pPr>
      <w:bookmarkStart w:id="190" w:name="_Ref184301850"/>
      <w:r w:rsidRPr="00191F27">
        <w:t xml:space="preserve">Figure </w:t>
      </w:r>
      <w:r w:rsidR="00115785">
        <w:fldChar w:fldCharType="begin"/>
      </w:r>
      <w:r w:rsidR="00115785">
        <w:instrText xml:space="preserve"> SEQ Figure \* ARABIC </w:instrText>
      </w:r>
      <w:r w:rsidR="00115785">
        <w:fldChar w:fldCharType="separate"/>
      </w:r>
      <w:r w:rsidR="00115785">
        <w:rPr>
          <w:noProof/>
        </w:rPr>
        <w:t>3</w:t>
      </w:r>
      <w:r w:rsidR="00115785">
        <w:rPr>
          <w:noProof/>
        </w:rPr>
        <w:fldChar w:fldCharType="end"/>
      </w:r>
      <w:bookmarkEnd w:id="190"/>
      <w:r w:rsidRPr="00191F27">
        <w:t>:</w:t>
      </w:r>
      <w:r>
        <w:t xml:space="preserve"> average </w:t>
      </w:r>
      <w:r w:rsidR="0007732C">
        <w:t>PRR</w:t>
      </w:r>
      <w:r>
        <w:t xml:space="preserve"> </w:t>
      </w:r>
      <w:r w:rsidR="00D4175A">
        <w:t xml:space="preserve">at </w:t>
      </w:r>
      <w:r>
        <w:t>400 m varying the median CBR</w:t>
      </w:r>
    </w:p>
    <w:p w14:paraId="41FFB8A8" w14:textId="77777777" w:rsidR="00D4175A" w:rsidRDefault="00D4175A"/>
    <w:p w14:paraId="293216E7" w14:textId="0A214AF2" w:rsidR="00951A91" w:rsidRDefault="00951A91" w:rsidP="00951A91">
      <w:pPr>
        <w:tabs>
          <w:tab w:val="left" w:pos="2445"/>
        </w:tabs>
      </w:pPr>
      <w:r>
        <w:t xml:space="preserve">In </w:t>
      </w:r>
      <w:r>
        <w:fldChar w:fldCharType="begin"/>
      </w:r>
      <w:r>
        <w:instrText xml:space="preserve"> REF _Ref184307565 \h </w:instrText>
      </w:r>
      <w:r>
        <w:fldChar w:fldCharType="separate"/>
      </w:r>
      <w:r w:rsidRPr="00191F27">
        <w:t xml:space="preserve">Figure </w:t>
      </w:r>
      <w:r>
        <w:rPr>
          <w:noProof/>
        </w:rPr>
        <w:t>4</w:t>
      </w:r>
      <w:r>
        <w:fldChar w:fldCharType="end"/>
      </w:r>
      <w:r>
        <w:t xml:space="preserve">, the median CBR and </w:t>
      </w:r>
      <w:r w:rsidR="007767D0">
        <w:t xml:space="preserve">a measure of the </w:t>
      </w:r>
      <w:r>
        <w:t xml:space="preserve">average </w:t>
      </w:r>
      <w:r w:rsidR="007767D0">
        <w:t xml:space="preserve">number of </w:t>
      </w:r>
      <w:r>
        <w:t xml:space="preserve">messages </w:t>
      </w:r>
      <w:r w:rsidR="007767D0">
        <w:t xml:space="preserve">that are </w:t>
      </w:r>
      <w:r>
        <w:t>correctly decoded at 400 m per km and per second</w:t>
      </w:r>
      <w:r w:rsidRPr="00951A91">
        <w:t xml:space="preserve"> </w:t>
      </w:r>
      <w:r>
        <w:t xml:space="preserve">are shown varying the average messages sent per km and per second. Also in this case, the results are obtained by implicitly varying the vehicle density. Looking at the blue curves, corresponding to the median CBR, it can be </w:t>
      </w:r>
      <w:r w:rsidR="00207469">
        <w:t>Note</w:t>
      </w:r>
      <w:r>
        <w:t xml:space="preserve">d that trends are consistent to those shown with the density in the x-axis in </w:t>
      </w:r>
      <w:r>
        <w:fldChar w:fldCharType="begin"/>
      </w:r>
      <w:r>
        <w:instrText xml:space="preserve"> REF _Ref184301230 \h </w:instrText>
      </w:r>
      <w:r>
        <w:fldChar w:fldCharType="separate"/>
      </w:r>
      <w:r w:rsidRPr="00191F27">
        <w:t xml:space="preserve">Figure </w:t>
      </w:r>
      <w:r>
        <w:rPr>
          <w:noProof/>
        </w:rPr>
        <w:t>2</w:t>
      </w:r>
      <w:r>
        <w:fldChar w:fldCharType="end"/>
      </w:r>
      <w:r>
        <w:t xml:space="preserve">; indeed, since 10 </w:t>
      </w:r>
      <w:r w:rsidR="0007732C">
        <w:t xml:space="preserve">packets </w:t>
      </w:r>
      <w:r>
        <w:t xml:space="preserve">per second are sent by each vehicle, the average sent messages per km and second is proportional to the density. Looking at the red curves, </w:t>
      </w:r>
      <w:r w:rsidR="007767D0">
        <w:t xml:space="preserve">which more specifically shows the product between the average number of messages sent per km per second and the PRR at 400 m, </w:t>
      </w:r>
      <w:r w:rsidR="008403F1">
        <w:t xml:space="preserve">it can be </w:t>
      </w:r>
      <w:r w:rsidR="00207469">
        <w:t>Note</w:t>
      </w:r>
      <w:r w:rsidR="008403F1">
        <w:t xml:space="preserve">d that they </w:t>
      </w:r>
      <w:r>
        <w:t xml:space="preserve">increase for small values of the sent </w:t>
      </w:r>
      <w:r w:rsidR="0007732C">
        <w:t xml:space="preserve">packets </w:t>
      </w:r>
      <w:r>
        <w:t xml:space="preserve">(i.e., for low vehicle density) and then decrease after a maximum is reached. </w:t>
      </w:r>
      <w:r w:rsidR="008403F1">
        <w:t>In each of the three red curves, a star is added when the median CBR corresponds to 0.62; a</w:t>
      </w:r>
      <w:r>
        <w:t xml:space="preserve">s observable, the marked values are close to the maximum of the curves, meaning that a load on the channel higher than the limit imply an excessive increase in the collision probability. </w:t>
      </w:r>
    </w:p>
    <w:p w14:paraId="01A567F9" w14:textId="307E844F" w:rsidR="00951A91" w:rsidRDefault="00951A91" w:rsidP="00951A91">
      <w:pPr>
        <w:tabs>
          <w:tab w:val="left" w:pos="2445"/>
        </w:tabs>
        <w:jc w:val="center"/>
      </w:pPr>
    </w:p>
    <w:p w14:paraId="6E06B024" w14:textId="789614BD" w:rsidR="002E63EF" w:rsidRPr="004359B8" w:rsidRDefault="002E63EF" w:rsidP="00951A91">
      <w:pPr>
        <w:tabs>
          <w:tab w:val="left" w:pos="2445"/>
        </w:tabs>
        <w:jc w:val="center"/>
      </w:pPr>
      <w:r>
        <w:rPr>
          <w:noProof/>
          <w:lang w:val="it-IT" w:eastAsia="it-IT"/>
        </w:rPr>
        <w:drawing>
          <wp:inline distT="0" distB="0" distL="0" distR="0" wp14:anchorId="2313966D" wp14:editId="519E3489">
            <wp:extent cx="2880000" cy="2160000"/>
            <wp:effectExtent l="0" t="0" r="0" b="0"/>
            <wp:docPr id="8" name="Immagine 8" descr="C:\Users\Alessandro Bazzi\OneDrive - Alma Mater Studiorum Università di Bologna\Progetti\Progetti attivi\61_STF_MCO_control\11_Riunione 9 gennaio 2025\SimsMCO\Fig_rcv-CBR_vs_sent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ssandro Bazzi\OneDrive - Alma Mater Studiorum Università di Bologna\Progetti\Progetti attivi\61_STF_MCO_control\11_Riunione 9 gennaio 2025\SimsMCO\Fig_rcv-CBR_vs_sent_at40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1927CF2" w14:textId="0FEF7BA4" w:rsidR="00951A91" w:rsidRDefault="00951A91" w:rsidP="00CF128B">
      <w:pPr>
        <w:pStyle w:val="Caption"/>
        <w:jc w:val="center"/>
      </w:pPr>
      <w:bookmarkStart w:id="191" w:name="_Ref184307565"/>
      <w:r w:rsidRPr="00191F27">
        <w:t xml:space="preserve">Figure </w:t>
      </w:r>
      <w:r w:rsidR="00115785">
        <w:fldChar w:fldCharType="begin"/>
      </w:r>
      <w:r w:rsidR="00115785">
        <w:instrText xml:space="preserve"> SEQ Figure \* ARABIC </w:instrText>
      </w:r>
      <w:r w:rsidR="00115785">
        <w:fldChar w:fldCharType="separate"/>
      </w:r>
      <w:r w:rsidR="00115785">
        <w:rPr>
          <w:noProof/>
        </w:rPr>
        <w:t>4</w:t>
      </w:r>
      <w:r w:rsidR="00115785">
        <w:rPr>
          <w:noProof/>
        </w:rPr>
        <w:fldChar w:fldCharType="end"/>
      </w:r>
      <w:bookmarkEnd w:id="191"/>
      <w:r w:rsidRPr="00191F27">
        <w:t>:</w:t>
      </w:r>
      <w:r>
        <w:t xml:space="preserve"> median CBR and </w:t>
      </w:r>
      <w:r w:rsidR="007767D0">
        <w:t xml:space="preserve">measure of the average number of </w:t>
      </w:r>
      <w:r>
        <w:t xml:space="preserve">messages </w:t>
      </w:r>
      <w:r w:rsidR="007767D0">
        <w:t xml:space="preserve">correctly </w:t>
      </w:r>
      <w:r w:rsidR="00CF128B">
        <w:br/>
      </w:r>
      <w:r w:rsidR="007767D0">
        <w:t xml:space="preserve">received at 400 m </w:t>
      </w:r>
      <w:r>
        <w:t>per km per second</w:t>
      </w:r>
    </w:p>
    <w:p w14:paraId="780A7696" w14:textId="77777777" w:rsidR="00CF128B" w:rsidRPr="00CF128B" w:rsidRDefault="00CF128B" w:rsidP="00CF128B"/>
    <w:p w14:paraId="06846EAD" w14:textId="3A44DEC9" w:rsidR="008403F1" w:rsidRDefault="008403F1" w:rsidP="0010571F">
      <w:r>
        <w:t>Finally, i</w:t>
      </w:r>
      <w:r w:rsidR="009E1247">
        <w:t xml:space="preserve">n </w:t>
      </w:r>
      <w:r w:rsidR="009E1247">
        <w:fldChar w:fldCharType="begin"/>
      </w:r>
      <w:r w:rsidR="009E1247">
        <w:instrText xml:space="preserve"> REF _Ref184301853 \h </w:instrText>
      </w:r>
      <w:r w:rsidR="0010571F">
        <w:instrText xml:space="preserve"> \* MERGEFORMAT </w:instrText>
      </w:r>
      <w:r w:rsidR="009E1247">
        <w:fldChar w:fldCharType="separate"/>
      </w:r>
      <w:r w:rsidR="007767D0" w:rsidRPr="00191F27">
        <w:t xml:space="preserve">Figure </w:t>
      </w:r>
      <w:r w:rsidR="007767D0">
        <w:rPr>
          <w:noProof/>
        </w:rPr>
        <w:t>5</w:t>
      </w:r>
      <w:r w:rsidR="009E1247">
        <w:fldChar w:fldCharType="end"/>
      </w:r>
      <w:r w:rsidR="00F45DBF">
        <w:t xml:space="preserve">, </w:t>
      </w:r>
      <w:r w:rsidR="00721702">
        <w:t xml:space="preserve">the </w:t>
      </w:r>
      <w:r w:rsidR="0007732C">
        <w:t>PER</w:t>
      </w:r>
      <w:r w:rsidR="00721702">
        <w:t xml:space="preserve"> </w:t>
      </w:r>
      <w:r>
        <w:t xml:space="preserve">at 400 m is </w:t>
      </w:r>
      <w:r w:rsidR="00721702">
        <w:t xml:space="preserve">shown </w:t>
      </w:r>
      <w:r>
        <w:t xml:space="preserve">together with the CBR </w:t>
      </w:r>
      <w:r w:rsidR="00721702">
        <w:t xml:space="preserve">varying the average messages sent per km and per second. Looking at the </w:t>
      </w:r>
      <w:r w:rsidR="0007732C">
        <w:t>PER</w:t>
      </w:r>
      <w:r>
        <w:t xml:space="preserve">, it </w:t>
      </w:r>
      <w:r w:rsidR="00D4175A">
        <w:t xml:space="preserve">increases with larger </w:t>
      </w:r>
      <w:r w:rsidR="0007732C">
        <w:t>packets</w:t>
      </w:r>
      <w:r>
        <w:t>,</w:t>
      </w:r>
      <w:r w:rsidR="00D4175A">
        <w:t xml:space="preserve"> both due to a higher occupation of the channel and a higher SINR required to correctly decode the </w:t>
      </w:r>
      <w:r w:rsidR="0007732C">
        <w:t>packet</w:t>
      </w:r>
      <w:r w:rsidR="00D4175A">
        <w:t xml:space="preserve">. </w:t>
      </w:r>
      <w:r>
        <w:t xml:space="preserve">Also in this case, the values corresponding to a median CBR equal to 0.62 are marked with a star, showing that the </w:t>
      </w:r>
      <w:r w:rsidR="0007732C">
        <w:t>PER</w:t>
      </w:r>
      <w:r>
        <w:t xml:space="preserve"> at 400 m </w:t>
      </w:r>
      <w:r w:rsidR="0007732C">
        <w:t xml:space="preserve">is </w:t>
      </w:r>
      <w:r>
        <w:t>between 0.2 and 0.4 when the channel occupation is close to the limit imposed by current specifications. By looking jointly at</w:t>
      </w:r>
      <w:r w:rsidR="0007732C">
        <w:t xml:space="preserve"> </w:t>
      </w:r>
      <w:r w:rsidR="0007732C">
        <w:fldChar w:fldCharType="begin"/>
      </w:r>
      <w:r w:rsidR="0007732C">
        <w:instrText xml:space="preserve"> REF _Ref184307565 \h </w:instrText>
      </w:r>
      <w:r w:rsidR="0010571F">
        <w:instrText xml:space="preserve"> \* MERGEFORMAT </w:instrText>
      </w:r>
      <w:r w:rsidR="0007732C">
        <w:fldChar w:fldCharType="separate"/>
      </w:r>
      <w:r w:rsidR="0007732C" w:rsidRPr="00191F27">
        <w:t xml:space="preserve">Figure </w:t>
      </w:r>
      <w:r w:rsidR="0007732C">
        <w:rPr>
          <w:noProof/>
        </w:rPr>
        <w:t>4</w:t>
      </w:r>
      <w:r w:rsidR="0007732C">
        <w:fldChar w:fldCharType="end"/>
      </w:r>
      <w:r>
        <w:t xml:space="preserve"> </w:t>
      </w:r>
      <w:r w:rsidR="0007732C">
        <w:t xml:space="preserve">and </w:t>
      </w:r>
      <w:r>
        <w:fldChar w:fldCharType="begin"/>
      </w:r>
      <w:r>
        <w:instrText xml:space="preserve"> REF _Ref184301853 \h </w:instrText>
      </w:r>
      <w:r w:rsidR="0010571F">
        <w:instrText xml:space="preserve"> \* MERGEFORMAT </w:instrText>
      </w:r>
      <w:r>
        <w:fldChar w:fldCharType="separate"/>
      </w:r>
      <w:r w:rsidR="0007732C" w:rsidRPr="00191F27">
        <w:t xml:space="preserve">Figure </w:t>
      </w:r>
      <w:r w:rsidR="0007732C">
        <w:rPr>
          <w:noProof/>
        </w:rPr>
        <w:t>5</w:t>
      </w:r>
      <w:r>
        <w:fldChar w:fldCharType="end"/>
      </w:r>
      <w:r>
        <w:t xml:space="preserve">, it can be </w:t>
      </w:r>
      <w:r w:rsidR="00207469">
        <w:t>Note</w:t>
      </w:r>
      <w:r>
        <w:t xml:space="preserve">d that the maximum average number of correctly decoded messages </w:t>
      </w:r>
      <w:r w:rsidR="0007732C">
        <w:t xml:space="preserve">at 400 m </w:t>
      </w:r>
      <w:r>
        <w:t xml:space="preserve">is achieved close to the channel occupation limit, despite the </w:t>
      </w:r>
      <w:r w:rsidR="0007732C">
        <w:t>PER</w:t>
      </w:r>
      <w:r>
        <w:t xml:space="preserve"> is larger than 0.2.</w:t>
      </w:r>
    </w:p>
    <w:p w14:paraId="1C360C05" w14:textId="2AC61903" w:rsidR="004359B8" w:rsidRPr="004359B8" w:rsidRDefault="0007732C">
      <w:pPr>
        <w:jc w:val="center"/>
      </w:pPr>
      <w:r>
        <w:rPr>
          <w:noProof/>
          <w:lang w:val="it-IT" w:eastAsia="it-IT"/>
        </w:rPr>
        <w:drawing>
          <wp:inline distT="0" distB="0" distL="0" distR="0" wp14:anchorId="5F324912" wp14:editId="5D0CDD9A">
            <wp:extent cx="2880000" cy="2160000"/>
            <wp:effectExtent l="0" t="0" r="0" b="0"/>
            <wp:docPr id="5" name="Immagine 5" descr="C:\Users\Alessandro Bazzi\OneDrive - Alma Mater Studiorum Università di Bologna\Progetti\Progetti attivi\61_STF_MCO_control\11_Riunione 9 gennaio 2025\SimsMCO\Fig_ERR-CBR_vs_sent_400m_at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essandro Bazzi\OneDrive - Alma Mater Studiorum Università di Bologna\Progetti\Progetti attivi\61_STF_MCO_control\11_Riunione 9 gennaio 2025\SimsMCO\Fig_ERR-CBR_vs_sent_400m_at400.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56765F4B" w14:textId="7948F6A6" w:rsidR="009E1247" w:rsidRPr="0027479C" w:rsidRDefault="009E1247" w:rsidP="009E1247">
      <w:pPr>
        <w:pStyle w:val="Caption"/>
        <w:jc w:val="center"/>
      </w:pPr>
      <w:bookmarkStart w:id="192" w:name="_Ref184301853"/>
      <w:r w:rsidRPr="00191F27">
        <w:t xml:space="preserve">Figure </w:t>
      </w:r>
      <w:r w:rsidR="00115785">
        <w:fldChar w:fldCharType="begin"/>
      </w:r>
      <w:r w:rsidR="00115785">
        <w:instrText xml:space="preserve"> SEQ Figure \* ARABIC </w:instrText>
      </w:r>
      <w:r w:rsidR="00115785">
        <w:fldChar w:fldCharType="separate"/>
      </w:r>
      <w:r w:rsidR="00115785">
        <w:rPr>
          <w:noProof/>
        </w:rPr>
        <w:t>5</w:t>
      </w:r>
      <w:r w:rsidR="00115785">
        <w:rPr>
          <w:noProof/>
        </w:rPr>
        <w:fldChar w:fldCharType="end"/>
      </w:r>
      <w:bookmarkEnd w:id="192"/>
      <w:r w:rsidRPr="00191F27">
        <w:t>:</w:t>
      </w:r>
      <w:r>
        <w:t xml:space="preserve"> median CBR and </w:t>
      </w:r>
      <w:r w:rsidR="00F45DBF">
        <w:t xml:space="preserve">frame </w:t>
      </w:r>
      <w:r>
        <w:t xml:space="preserve">error probability </w:t>
      </w:r>
      <w:r w:rsidR="00D4175A">
        <w:t>at</w:t>
      </w:r>
      <w:r>
        <w:t xml:space="preserve"> 400 m, varying the messages </w:t>
      </w:r>
      <w:r w:rsidR="00F45DBF">
        <w:t xml:space="preserve">sent </w:t>
      </w:r>
      <w:r>
        <w:t>per km per second</w:t>
      </w:r>
    </w:p>
    <w:p w14:paraId="2F89A771" w14:textId="489E10EE" w:rsidR="004359B8" w:rsidRDefault="00D4175A" w:rsidP="00A138F7">
      <w:pPr>
        <w:tabs>
          <w:tab w:val="left" w:pos="2445"/>
        </w:tabs>
      </w:pPr>
      <w:r>
        <w:tab/>
      </w:r>
    </w:p>
    <w:p w14:paraId="4264DE7B" w14:textId="365EC2F5" w:rsidR="005A33BD" w:rsidRDefault="0020293A" w:rsidP="00026415">
      <w:r>
        <w:t>The overall conclusion is that</w:t>
      </w:r>
      <w:r w:rsidR="007F2F31">
        <w:t>,</w:t>
      </w:r>
      <w:r>
        <w:t xml:space="preserve"> assuming </w:t>
      </w:r>
      <w:r w:rsidR="0007732C">
        <w:t xml:space="preserve">packets </w:t>
      </w:r>
      <w:r>
        <w:t xml:space="preserve">all of the same size, a different size could lead to a different maximum </w:t>
      </w:r>
      <w:r w:rsidR="0007732C">
        <w:t xml:space="preserve">congestion </w:t>
      </w:r>
      <w:r>
        <w:t xml:space="preserve">threshold. Similar considerations apply also to other cases, such as if the </w:t>
      </w:r>
      <w:r w:rsidR="0007732C">
        <w:t xml:space="preserve">packets </w:t>
      </w:r>
      <w:r>
        <w:t xml:space="preserve">are all with the same priority, but the priority is </w:t>
      </w:r>
      <w:r w:rsidR="007F2F31">
        <w:t>varied</w:t>
      </w:r>
      <w:r>
        <w:t>, because of different durations of the inter-frame spaces; or if the reference distance is changed</w:t>
      </w:r>
      <w:r w:rsidR="005A33BD">
        <w:t>. This means that it is not possible to give a specific number as the optimum limit, but this depends on a large number of variables which may change in time</w:t>
      </w:r>
      <w:r w:rsidR="008403F1">
        <w:t xml:space="preserve">, in </w:t>
      </w:r>
      <w:r w:rsidR="005A33BD">
        <w:t>space</w:t>
      </w:r>
      <w:r w:rsidR="008403F1">
        <w:t>, and depending on the use case</w:t>
      </w:r>
      <w:r w:rsidR="005A33BD">
        <w:t>.</w:t>
      </w:r>
    </w:p>
    <w:p w14:paraId="444CE177" w14:textId="1AB59663" w:rsidR="005A33BD" w:rsidRPr="00C16E51" w:rsidRDefault="007F2F31" w:rsidP="0010571F">
      <w:r>
        <w:t xml:space="preserve">These results are consistent with what discussed in the reference literature and the </w:t>
      </w:r>
      <w:r w:rsidR="005A33BD">
        <w:t xml:space="preserve">main </w:t>
      </w:r>
      <w:r>
        <w:t xml:space="preserve">deriving </w:t>
      </w:r>
      <w:r w:rsidR="005A33BD">
        <w:t xml:space="preserve">observations are </w:t>
      </w:r>
      <w:r>
        <w:t>as follows</w:t>
      </w:r>
      <w:r w:rsidR="005A33BD">
        <w:t>.</w:t>
      </w:r>
    </w:p>
    <w:p w14:paraId="4F7CDEE5" w14:textId="7F2399AF" w:rsidR="005A33BD" w:rsidRPr="000D68D2" w:rsidRDefault="00207469" w:rsidP="00026415">
      <w:pPr>
        <w:ind w:left="1420" w:hanging="852"/>
        <w:rPr>
          <w:rFonts w:eastAsiaTheme="minorEastAsia"/>
        </w:rPr>
      </w:pPr>
      <w:r>
        <w:rPr>
          <w:rFonts w:eastAsiaTheme="minorEastAsia"/>
          <w:b/>
          <w:bCs/>
        </w:rPr>
        <w:t>NOTE 1</w:t>
      </w:r>
      <w:r w:rsidR="005A33BD" w:rsidRPr="000D68D2">
        <w:rPr>
          <w:rFonts w:eastAsiaTheme="minorEastAsia"/>
          <w:b/>
          <w:bCs/>
        </w:rPr>
        <w:t>:</w:t>
      </w:r>
      <w:r w:rsidR="005A33BD" w:rsidRPr="000D68D2">
        <w:rPr>
          <w:rFonts w:eastAsiaTheme="minorEastAsia"/>
          <w:b/>
          <w:bCs/>
        </w:rPr>
        <w:tab/>
      </w:r>
      <w:r w:rsidRPr="00207469">
        <w:rPr>
          <w:rFonts w:eastAsiaTheme="minorEastAsia"/>
        </w:rPr>
        <w:t>A</w:t>
      </w:r>
      <w:r w:rsidR="005A33BD" w:rsidRPr="00207469">
        <w:rPr>
          <w:rFonts w:eastAsiaTheme="minorEastAsia"/>
        </w:rPr>
        <w:t xml:space="preserve"> </w:t>
      </w:r>
      <w:r w:rsidR="005A33BD">
        <w:rPr>
          <w:rFonts w:eastAsiaTheme="minorEastAsia"/>
        </w:rPr>
        <w:t xml:space="preserve">specific optimum value does not appear possible to derive, as it depends on a very large number of factors, which can also </w:t>
      </w:r>
      <w:r w:rsidR="0007732C">
        <w:rPr>
          <w:rFonts w:eastAsiaTheme="minorEastAsia"/>
        </w:rPr>
        <w:t xml:space="preserve">depend on the application and </w:t>
      </w:r>
      <w:r w:rsidR="005A33BD">
        <w:rPr>
          <w:rFonts w:eastAsiaTheme="minorEastAsia"/>
        </w:rPr>
        <w:t>vary in time and space</w:t>
      </w:r>
      <w:r w:rsidR="005A33BD" w:rsidRPr="000D68D2">
        <w:rPr>
          <w:rFonts w:eastAsiaTheme="minorEastAsia"/>
        </w:rPr>
        <w:t xml:space="preserve">. </w:t>
      </w:r>
    </w:p>
    <w:p w14:paraId="2F11EFB5" w14:textId="13CBD885" w:rsidR="005A33BD" w:rsidRPr="000D68D2" w:rsidRDefault="00207469" w:rsidP="00026415">
      <w:pPr>
        <w:ind w:left="284" w:firstLine="284"/>
        <w:rPr>
          <w:rFonts w:eastAsiaTheme="minorEastAsia"/>
        </w:rPr>
      </w:pPr>
      <w:r>
        <w:rPr>
          <w:rFonts w:eastAsiaTheme="minorEastAsia"/>
          <w:b/>
          <w:bCs/>
        </w:rPr>
        <w:t>NOTE 2</w:t>
      </w:r>
      <w:r w:rsidR="005A33BD" w:rsidRPr="000D68D2">
        <w:rPr>
          <w:rFonts w:eastAsiaTheme="minorEastAsia"/>
          <w:b/>
          <w:bCs/>
        </w:rPr>
        <w:t>:</w:t>
      </w:r>
      <w:r w:rsidR="005A33BD" w:rsidRPr="000D68D2">
        <w:rPr>
          <w:rFonts w:eastAsiaTheme="minorEastAsia"/>
          <w:b/>
          <w:bCs/>
        </w:rPr>
        <w:tab/>
      </w:r>
      <w:r w:rsidR="005A33BD">
        <w:rPr>
          <w:rFonts w:eastAsiaTheme="minorEastAsia"/>
        </w:rPr>
        <w:t>The threshold 0.62 currently in the standards appears reasonable also for Release 2</w:t>
      </w:r>
      <w:r w:rsidR="005A33BD" w:rsidRPr="000D68D2">
        <w:rPr>
          <w:rFonts w:eastAsiaTheme="minorEastAsia"/>
        </w:rPr>
        <w:t xml:space="preserve">. </w:t>
      </w:r>
    </w:p>
    <w:p w14:paraId="4921739B" w14:textId="1C0EF173" w:rsidR="00B32EAA" w:rsidRPr="000D68D2" w:rsidRDefault="00207469" w:rsidP="00B32EAA">
      <w:pPr>
        <w:ind w:left="1420" w:hanging="852"/>
        <w:rPr>
          <w:rFonts w:eastAsiaTheme="minorEastAsia"/>
        </w:rPr>
      </w:pPr>
      <w:r>
        <w:rPr>
          <w:rFonts w:eastAsiaTheme="minorEastAsia"/>
          <w:b/>
          <w:bCs/>
        </w:rPr>
        <w:t>NOTE 3</w:t>
      </w:r>
      <w:r w:rsidR="005A33BD" w:rsidRPr="000D68D2">
        <w:rPr>
          <w:rFonts w:eastAsiaTheme="minorEastAsia"/>
          <w:b/>
          <w:bCs/>
        </w:rPr>
        <w:t>:</w:t>
      </w:r>
      <w:r w:rsidR="005A33BD" w:rsidRPr="000D68D2">
        <w:rPr>
          <w:rFonts w:eastAsiaTheme="minorEastAsia"/>
        </w:rPr>
        <w:tab/>
      </w:r>
      <w:r w:rsidR="005A33BD">
        <w:rPr>
          <w:rFonts w:eastAsiaTheme="minorEastAsia"/>
        </w:rPr>
        <w:t>A mechanism should be introduced in the specifications that allows the infrastructure to periodically update the limit</w:t>
      </w:r>
      <w:r w:rsidR="005A33BD" w:rsidRPr="000D68D2">
        <w:rPr>
          <w:rFonts w:eastAsiaTheme="minorEastAsia"/>
        </w:rPr>
        <w:t>.</w:t>
      </w:r>
      <w:r w:rsidR="005A33BD">
        <w:rPr>
          <w:rFonts w:eastAsiaTheme="minorEastAsia"/>
        </w:rPr>
        <w:t xml:space="preserve"> Such periodicity may be in the order of months or years and should introduce small variations based on measurements from the real implementations. </w:t>
      </w:r>
      <w:r w:rsidR="00873EA7">
        <w:rPr>
          <w:rFonts w:eastAsiaTheme="minorEastAsia"/>
        </w:rPr>
        <w:t xml:space="preserve">The mechanism should be defined considering fairness between vehicles that may have temporarily different values during the update; this may be granted by only allowing small </w:t>
      </w:r>
      <w:r w:rsidR="00140C69">
        <w:rPr>
          <w:rFonts w:eastAsiaTheme="minorEastAsia"/>
        </w:rPr>
        <w:t>variations but</w:t>
      </w:r>
      <w:r w:rsidR="00873EA7">
        <w:rPr>
          <w:rFonts w:eastAsiaTheme="minorEastAsia"/>
        </w:rPr>
        <w:t xml:space="preserve"> needs further analysis.</w:t>
      </w:r>
      <w:r w:rsidR="00B32EAA">
        <w:rPr>
          <w:rFonts w:eastAsiaTheme="minorEastAsia"/>
        </w:rPr>
        <w:br/>
        <w:t xml:space="preserve">As example: parameter updates could be distributed via the </w:t>
      </w:r>
      <w:r w:rsidR="00140C69">
        <w:rPr>
          <w:rFonts w:eastAsiaTheme="minorEastAsia"/>
        </w:rPr>
        <w:t>certificates</w:t>
      </w:r>
      <w:r w:rsidR="00B32EAA">
        <w:rPr>
          <w:rFonts w:eastAsiaTheme="minorEastAsia"/>
        </w:rPr>
        <w:t>.</w:t>
      </w:r>
    </w:p>
    <w:p w14:paraId="613D9294" w14:textId="089B2C99" w:rsidR="00F83594" w:rsidRPr="00B92FB9" w:rsidRDefault="00946EB8" w:rsidP="00F140CF">
      <w:pPr>
        <w:pStyle w:val="Heading3"/>
        <w:numPr>
          <w:ilvl w:val="2"/>
          <w:numId w:val="11"/>
        </w:numPr>
        <w:ind w:left="1134"/>
      </w:pPr>
      <w:bookmarkStart w:id="193" w:name="_Toc197337021"/>
      <w:r>
        <w:t>Analysis of algorithms</w:t>
      </w:r>
      <w:bookmarkEnd w:id="193"/>
    </w:p>
    <w:p w14:paraId="39BDF734" w14:textId="23C6D369" w:rsidR="005506B3" w:rsidRDefault="00946EB8" w:rsidP="00026415">
      <w:r>
        <w:t xml:space="preserve">The current constraints imposed to the algorithm that an implementation can use may not be sufficient. The current constraints imposed by the standard, in fact, do not </w:t>
      </w:r>
      <w:r w:rsidR="003359E3">
        <w:t>consider</w:t>
      </w:r>
      <w:r>
        <w:t xml:space="preserve"> fairness and may cause different implementations to have different levels of access to the channel in congested situations.</w:t>
      </w:r>
    </w:p>
    <w:p w14:paraId="10A1820D" w14:textId="3A2B2116" w:rsidR="006F42D7" w:rsidRDefault="006F42D7" w:rsidP="007F4679">
      <w:r>
        <w:t xml:space="preserve">With the objective to elaborate on this statement, hereafter some results are shown using the same simulator and settings of </w:t>
      </w:r>
      <w:r w:rsidR="004A3FC7">
        <w:t>clause</w:t>
      </w:r>
      <w:r>
        <w:t xml:space="preserve"> </w:t>
      </w:r>
      <w:r>
        <w:fldChar w:fldCharType="begin"/>
      </w:r>
      <w:r>
        <w:instrText xml:space="preserve"> REF _Ref186816368 \r \h </w:instrText>
      </w:r>
      <w:r w:rsidR="007F4679">
        <w:instrText xml:space="preserve"> \* MERGEFORMAT </w:instrText>
      </w:r>
      <w:r>
        <w:fldChar w:fldCharType="separate"/>
      </w:r>
      <w:r>
        <w:t>5.3.2</w:t>
      </w:r>
      <w:r>
        <w:fldChar w:fldCharType="end"/>
      </w:r>
      <w:r>
        <w:t xml:space="preserve">, adding the reactive and adaptive approaches described in ETSI </w:t>
      </w:r>
      <w:r w:rsidRPr="005506B3">
        <w:t>TS 102</w:t>
      </w:r>
      <w:r>
        <w:t> </w:t>
      </w:r>
      <w:r w:rsidRPr="005506B3">
        <w:t>687</w:t>
      </w:r>
      <w:r>
        <w:t xml:space="preserve">, without GeoNetworking. These results are not meant to comprehensively compare specific solutions, for which the reader can refer </w:t>
      </w:r>
      <w:r w:rsidR="009A6430">
        <w:t xml:space="preserve">among others </w:t>
      </w:r>
      <w:r>
        <w:t xml:space="preserve">to </w:t>
      </w:r>
      <w:r w:rsidR="009A6430">
        <w:t xml:space="preserve">the following references </w:t>
      </w:r>
      <w:r w:rsidR="009A6430">
        <w:fldChar w:fldCharType="begin"/>
      </w:r>
      <w:r w:rsidR="009A6430">
        <w:instrText xml:space="preserve"> REF ComparingLIMERICandDCCapproaches \h </w:instrText>
      </w:r>
      <w:r w:rsidR="009A6430">
        <w:fldChar w:fldCharType="separate"/>
      </w:r>
      <w:r w:rsidR="009A6430">
        <w:t>[i.21]</w:t>
      </w:r>
      <w:r w:rsidR="009A6430">
        <w:fldChar w:fldCharType="end"/>
      </w:r>
      <w:r>
        <w:t>,</w:t>
      </w:r>
      <w:r w:rsidR="009A6430">
        <w:t xml:space="preserve"> </w:t>
      </w:r>
      <w:r w:rsidR="009A6430">
        <w:fldChar w:fldCharType="begin"/>
      </w:r>
      <w:r w:rsidR="009A6430">
        <w:instrText xml:space="preserve"> REF IsPacketDroppingaSuitableCongestion \h </w:instrText>
      </w:r>
      <w:r w:rsidR="009A6430">
        <w:fldChar w:fldCharType="separate"/>
      </w:r>
      <w:r w:rsidR="009A6430">
        <w:t>[i.22]</w:t>
      </w:r>
      <w:r w:rsidR="009A6430">
        <w:fldChar w:fldCharType="end"/>
      </w:r>
      <w:r w:rsidR="009A6430">
        <w:t xml:space="preserve">, </w:t>
      </w:r>
      <w:r w:rsidR="009A6430">
        <w:fldChar w:fldCharType="begin"/>
      </w:r>
      <w:r w:rsidR="009A6430">
        <w:instrText xml:space="preserve"> REF EvaluationandImpactofCC \h </w:instrText>
      </w:r>
      <w:r w:rsidR="009A6430">
        <w:fldChar w:fldCharType="separate"/>
      </w:r>
      <w:r w:rsidR="009A6430">
        <w:t>[i.23]</w:t>
      </w:r>
      <w:r w:rsidR="009A6430">
        <w:fldChar w:fldCharType="end"/>
      </w:r>
      <w:r w:rsidR="009A6430">
        <w:t xml:space="preserve"> and </w:t>
      </w:r>
      <w:r w:rsidR="009A6430">
        <w:fldChar w:fldCharType="begin"/>
      </w:r>
      <w:r w:rsidR="009A6430">
        <w:instrText xml:space="preserve"> REF InternationalConferenceOnPerformance \h </w:instrText>
      </w:r>
      <w:r w:rsidR="009A6430">
        <w:fldChar w:fldCharType="separate"/>
      </w:r>
      <w:r w:rsidR="009A6430">
        <w:t>[i.24]</w:t>
      </w:r>
      <w:r w:rsidR="009A6430">
        <w:fldChar w:fldCharType="end"/>
      </w:r>
      <w:r w:rsidR="009A6430">
        <w:t>,</w:t>
      </w:r>
      <w:r>
        <w:t xml:space="preserve"> but only to remark the different impact that different algorithms can have.</w:t>
      </w:r>
    </w:p>
    <w:p w14:paraId="679FF941" w14:textId="4B50745F" w:rsidR="006B16D1" w:rsidRDefault="006F42D7" w:rsidP="007F4679">
      <w:r>
        <w:t>In particular, hereafter either 200 vehicles per km are assumed to transmit messages of 350 bytes</w:t>
      </w:r>
      <w:r w:rsidR="00C657B2">
        <w:t xml:space="preserve"> (scenario A)</w:t>
      </w:r>
      <w:r>
        <w:t>, or 100 vehicles per km are assumed to transmit messages of 1000 bytes</w:t>
      </w:r>
      <w:r w:rsidR="00C657B2">
        <w:t xml:space="preserve"> (scenario B)</w:t>
      </w:r>
      <w:r>
        <w:t>. These settings allow to investigate a scenario where the channel is slightly overloaded if no congestion control is implemented.</w:t>
      </w:r>
      <w:r w:rsidR="006B16D1">
        <w:t xml:space="preserve"> Each vehicle generates one packet every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6B16D1">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6B16D1">
        <w:t xml:space="preserve">, where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6B16D1">
        <w:t xml:space="preserve"> is set by the congestion control algorithm, based on the measured CBR.</w:t>
      </w:r>
      <w:r w:rsidR="00873EA7">
        <w:t xml:space="preserve"> </w:t>
      </w:r>
      <w:r w:rsidR="006B16D1">
        <w:t>A new packet is generated at least every 1 s and at most every 100 ms.</w:t>
      </w:r>
      <w:r w:rsidR="006C4B4D">
        <w:t xml:space="preserve"> Each vehicle generates one packet every 100 ms if DCC is not active.</w:t>
      </w:r>
    </w:p>
    <w:p w14:paraId="26F40A92" w14:textId="18D3A5DF" w:rsidR="00ED319B" w:rsidRDefault="00FB270A" w:rsidP="007F4679">
      <w:r>
        <w:t>When</w:t>
      </w:r>
      <w:r w:rsidR="00ED319B">
        <w:t xml:space="preserve"> the reactive approach is used, the profile defined by the </w:t>
      </w:r>
      <w:r w:rsidR="00ED319B" w:rsidRPr="00ED319B">
        <w:t>CAR 2 CAR Communication Consortium</w:t>
      </w:r>
      <w:r w:rsidR="00ED319B">
        <w:t xml:space="preserve"> in the </w:t>
      </w:r>
      <w:r w:rsidR="0025263B" w:rsidRPr="0025263B">
        <w:t>Vehicle C-ITS station profile</w:t>
      </w:r>
      <w:r w:rsidR="0025263B">
        <w:t xml:space="preserve">, Release </w:t>
      </w:r>
      <w:r w:rsidR="0025263B" w:rsidRPr="0025263B">
        <w:t>1.6.7</w:t>
      </w:r>
      <w:r w:rsidR="00045BF4">
        <w:t xml:space="preserve">. The profile requires that the CBR is updated making an average of the last measured CBR and the one calculated in the previous measurement interval. The profile also sets the values of the minimum </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045BF4">
        <w:t xml:space="preserve"> for CAM messages to those of Table A.2 in TS 102 687</w:t>
      </w:r>
      <w:r w:rsidR="00045BF4" w:rsidRPr="00045BF4">
        <w:t xml:space="preserve">, </w:t>
      </w:r>
      <w:r w:rsidR="00045BF4">
        <w:t xml:space="preserve">which are therefore used for the 350 bytes packets; consistently, for the 1000 bytes packets those of Table A.1 in TS 102 687 are used. These values are also reported in </w:t>
      </w:r>
      <w:r w:rsidR="000F0337">
        <w:fldChar w:fldCharType="begin"/>
      </w:r>
      <w:r w:rsidR="000F0337">
        <w:instrText xml:space="preserve"> REF _Ref189989916 \h </w:instrText>
      </w:r>
      <w:r w:rsidR="000F0337">
        <w:fldChar w:fldCharType="separate"/>
      </w:r>
      <w:r w:rsidR="000F0337">
        <w:t xml:space="preserve">Table </w:t>
      </w:r>
      <w:r w:rsidR="000F0337">
        <w:rPr>
          <w:noProof/>
        </w:rPr>
        <w:t>1</w:t>
      </w:r>
      <w:r w:rsidR="000F0337">
        <w:fldChar w:fldCharType="end"/>
      </w:r>
      <w:r w:rsidR="000F0337">
        <w:t>.</w:t>
      </w:r>
    </w:p>
    <w:p w14:paraId="0685155C" w14:textId="7438CFA9" w:rsidR="00045BF4" w:rsidRDefault="000F0337" w:rsidP="004C1CB8">
      <w:pPr>
        <w:pStyle w:val="TH"/>
      </w:pPr>
      <w:bookmarkStart w:id="194" w:name="_Ref189989916"/>
      <w:r>
        <w:t xml:space="preserve">Table </w:t>
      </w:r>
      <w:r>
        <w:fldChar w:fldCharType="begin"/>
      </w:r>
      <w:r>
        <w:instrText xml:space="preserve"> SEQ Table \* ARABIC </w:instrText>
      </w:r>
      <w:r>
        <w:fldChar w:fldCharType="separate"/>
      </w:r>
      <w:r>
        <w:rPr>
          <w:noProof/>
        </w:rPr>
        <w:t>1</w:t>
      </w:r>
      <w:r>
        <w:rPr>
          <w:noProof/>
        </w:rPr>
        <w:fldChar w:fldCharType="end"/>
      </w:r>
      <w:bookmarkEnd w:id="194"/>
      <w:r w:rsidRPr="001C6C6B">
        <w:t xml:space="preserve">: </w:t>
      </w:r>
      <w:r>
        <w:t>S</w:t>
      </w:r>
      <w:r w:rsidRPr="000F0337">
        <w:t>ettings of reactive DCC</w:t>
      </w:r>
      <w:r w:rsidR="00FB270A">
        <w:t xml:space="preserve"> </w:t>
      </w:r>
    </w:p>
    <w:tbl>
      <w:tblPr>
        <w:tblStyle w:val="TableGrid"/>
        <w:tblW w:w="0" w:type="auto"/>
        <w:jc w:val="center"/>
        <w:tblLook w:val="04A0" w:firstRow="1" w:lastRow="0" w:firstColumn="1" w:lastColumn="0" w:noHBand="0" w:noVBand="1"/>
      </w:tblPr>
      <w:tblGrid>
        <w:gridCol w:w="1925"/>
        <w:gridCol w:w="1926"/>
        <w:gridCol w:w="1926"/>
        <w:gridCol w:w="1926"/>
      </w:tblGrid>
      <w:tr w:rsidR="00045BF4" w:rsidRPr="00045BF4" w14:paraId="1D56FE81" w14:textId="77777777" w:rsidTr="00045BF4">
        <w:trPr>
          <w:jc w:val="center"/>
        </w:trPr>
        <w:tc>
          <w:tcPr>
            <w:tcW w:w="1925" w:type="dxa"/>
          </w:tcPr>
          <w:p w14:paraId="7A0C6221" w14:textId="0673235E" w:rsidR="00045BF4" w:rsidRPr="00207469" w:rsidRDefault="00045BF4" w:rsidP="00207469">
            <w:pPr>
              <w:jc w:val="center"/>
              <w:rPr>
                <w:b/>
                <w:sz w:val="18"/>
              </w:rPr>
            </w:pPr>
            <w:r w:rsidRPr="00207469">
              <w:rPr>
                <w:b/>
                <w:sz w:val="18"/>
              </w:rPr>
              <w:t>State</w:t>
            </w:r>
          </w:p>
        </w:tc>
        <w:tc>
          <w:tcPr>
            <w:tcW w:w="1926" w:type="dxa"/>
          </w:tcPr>
          <w:p w14:paraId="481D87D8" w14:textId="0AFC4D5D" w:rsidR="00045BF4" w:rsidRPr="00207469" w:rsidRDefault="00045BF4" w:rsidP="00207469">
            <w:pPr>
              <w:jc w:val="center"/>
              <w:rPr>
                <w:b/>
                <w:sz w:val="18"/>
              </w:rPr>
            </w:pPr>
            <w:r w:rsidRPr="00207469">
              <w:rPr>
                <w:b/>
                <w:sz w:val="18"/>
              </w:rPr>
              <w:t>CBR</w:t>
            </w:r>
          </w:p>
        </w:tc>
        <w:tc>
          <w:tcPr>
            <w:tcW w:w="1926" w:type="dxa"/>
          </w:tcPr>
          <w:p w14:paraId="5725AE8F" w14:textId="24B0C2F6" w:rsidR="00045BF4" w:rsidRPr="00207469" w:rsidRDefault="00045BF4" w:rsidP="00207469">
            <w:pPr>
              <w:jc w:val="center"/>
              <w:rPr>
                <w:b/>
                <w:sz w:val="18"/>
              </w:rPr>
            </w:pPr>
            <w:r w:rsidRPr="00207469">
              <w:rPr>
                <w:b/>
                <w:sz w:val="18"/>
              </w:rPr>
              <w:t xml:space="preserve">Minimum </w:t>
            </w:r>
            <m:oMath>
              <m:sSub>
                <m:sSubPr>
                  <m:ctrlPr>
                    <w:rPr>
                      <w:rFonts w:ascii="Cambria Math" w:hAnsi="Cambria Math"/>
                      <w:b/>
                      <w:i/>
                      <w:sz w:val="18"/>
                    </w:rPr>
                  </m:ctrlPr>
                </m:sSubPr>
                <m:e>
                  <m:r>
                    <m:rPr>
                      <m:sty m:val="bi"/>
                    </m:rPr>
                    <w:rPr>
                      <w:rFonts w:ascii="Cambria Math" w:hAnsi="Cambria Math"/>
                      <w:sz w:val="18"/>
                    </w:rPr>
                    <m:t>T</m:t>
                  </m:r>
                </m:e>
                <m:sub>
                  <m:r>
                    <m:rPr>
                      <m:sty m:val="bi"/>
                    </m:rPr>
                    <w:rPr>
                      <w:rFonts w:ascii="Cambria Math" w:hAnsi="Cambria Math"/>
                      <w:sz w:val="18"/>
                    </w:rPr>
                    <m:t>off</m:t>
                  </m:r>
                </m:sub>
              </m:sSub>
            </m:oMath>
            <w:r w:rsidRPr="00207469">
              <w:rPr>
                <w:b/>
                <w:sz w:val="18"/>
              </w:rPr>
              <w:t xml:space="preserve"> with packets of 350 bytes</w:t>
            </w:r>
          </w:p>
        </w:tc>
        <w:tc>
          <w:tcPr>
            <w:tcW w:w="1926" w:type="dxa"/>
          </w:tcPr>
          <w:p w14:paraId="5BA67EB0" w14:textId="533057EB" w:rsidR="00045BF4" w:rsidRPr="00207469" w:rsidRDefault="00045BF4" w:rsidP="00207469">
            <w:pPr>
              <w:jc w:val="center"/>
              <w:rPr>
                <w:b/>
                <w:sz w:val="18"/>
              </w:rPr>
            </w:pPr>
            <w:r w:rsidRPr="00207469">
              <w:rPr>
                <w:b/>
                <w:sz w:val="18"/>
              </w:rPr>
              <w:t xml:space="preserve">Minimum </w:t>
            </w:r>
            <m:oMath>
              <m:sSub>
                <m:sSubPr>
                  <m:ctrlPr>
                    <w:rPr>
                      <w:rFonts w:ascii="Cambria Math" w:hAnsi="Cambria Math"/>
                      <w:b/>
                      <w:i/>
                      <w:sz w:val="18"/>
                    </w:rPr>
                  </m:ctrlPr>
                </m:sSubPr>
                <m:e>
                  <m:r>
                    <m:rPr>
                      <m:sty m:val="bi"/>
                    </m:rPr>
                    <w:rPr>
                      <w:rFonts w:ascii="Cambria Math" w:hAnsi="Cambria Math"/>
                      <w:sz w:val="18"/>
                    </w:rPr>
                    <m:t>T</m:t>
                  </m:r>
                </m:e>
                <m:sub>
                  <m:r>
                    <m:rPr>
                      <m:sty m:val="bi"/>
                    </m:rPr>
                    <w:rPr>
                      <w:rFonts w:ascii="Cambria Math" w:hAnsi="Cambria Math"/>
                      <w:sz w:val="18"/>
                    </w:rPr>
                    <m:t>off</m:t>
                  </m:r>
                </m:sub>
              </m:sSub>
            </m:oMath>
            <w:r w:rsidRPr="00207469">
              <w:rPr>
                <w:b/>
                <w:sz w:val="18"/>
              </w:rPr>
              <w:t xml:space="preserve"> with packets of 1000 bytes</w:t>
            </w:r>
          </w:p>
        </w:tc>
      </w:tr>
      <w:tr w:rsidR="00045BF4" w:rsidRPr="00045BF4" w14:paraId="716C59F1" w14:textId="77777777" w:rsidTr="00045BF4">
        <w:trPr>
          <w:jc w:val="center"/>
        </w:trPr>
        <w:tc>
          <w:tcPr>
            <w:tcW w:w="1925" w:type="dxa"/>
          </w:tcPr>
          <w:p w14:paraId="2D6E692A" w14:textId="78D6ACE9" w:rsidR="00045BF4" w:rsidRPr="00207469" w:rsidRDefault="00045BF4" w:rsidP="0025263B">
            <w:pPr>
              <w:rPr>
                <w:sz w:val="18"/>
              </w:rPr>
            </w:pPr>
            <w:r>
              <w:rPr>
                <w:sz w:val="18"/>
              </w:rPr>
              <w:t>Relaxed</w:t>
            </w:r>
          </w:p>
        </w:tc>
        <w:tc>
          <w:tcPr>
            <w:tcW w:w="1926" w:type="dxa"/>
          </w:tcPr>
          <w:p w14:paraId="7FC542FA" w14:textId="261E4A4A" w:rsidR="00045BF4" w:rsidRPr="00207469" w:rsidRDefault="00045BF4" w:rsidP="0025263B">
            <w:pPr>
              <w:rPr>
                <w:sz w:val="18"/>
              </w:rPr>
            </w:pPr>
            <w:r>
              <w:rPr>
                <w:sz w:val="18"/>
              </w:rPr>
              <w:t>&lt; 30%</w:t>
            </w:r>
          </w:p>
        </w:tc>
        <w:tc>
          <w:tcPr>
            <w:tcW w:w="1926" w:type="dxa"/>
          </w:tcPr>
          <w:p w14:paraId="28F5E3F7" w14:textId="408F3470" w:rsidR="00045BF4" w:rsidRPr="00207469" w:rsidRDefault="00045BF4" w:rsidP="0025263B">
            <w:pPr>
              <w:rPr>
                <w:sz w:val="18"/>
              </w:rPr>
            </w:pPr>
            <w:r>
              <w:rPr>
                <w:sz w:val="18"/>
              </w:rPr>
              <w:t>50 ms</w:t>
            </w:r>
          </w:p>
        </w:tc>
        <w:tc>
          <w:tcPr>
            <w:tcW w:w="1926" w:type="dxa"/>
          </w:tcPr>
          <w:p w14:paraId="7C3752B1" w14:textId="3A6D96B6" w:rsidR="00045BF4" w:rsidRPr="00207469" w:rsidRDefault="00045BF4" w:rsidP="0025263B">
            <w:pPr>
              <w:rPr>
                <w:sz w:val="18"/>
              </w:rPr>
            </w:pPr>
            <w:r>
              <w:rPr>
                <w:sz w:val="18"/>
              </w:rPr>
              <w:t>100 ms</w:t>
            </w:r>
          </w:p>
        </w:tc>
      </w:tr>
      <w:tr w:rsidR="00045BF4" w:rsidRPr="00045BF4" w14:paraId="431262BB" w14:textId="77777777" w:rsidTr="00045BF4">
        <w:trPr>
          <w:jc w:val="center"/>
        </w:trPr>
        <w:tc>
          <w:tcPr>
            <w:tcW w:w="1925" w:type="dxa"/>
          </w:tcPr>
          <w:p w14:paraId="64C36650" w14:textId="401E7986" w:rsidR="00045BF4" w:rsidRPr="00207469" w:rsidRDefault="00045BF4" w:rsidP="0025263B">
            <w:pPr>
              <w:rPr>
                <w:sz w:val="18"/>
              </w:rPr>
            </w:pPr>
            <w:r>
              <w:rPr>
                <w:sz w:val="18"/>
              </w:rPr>
              <w:t>Active 1</w:t>
            </w:r>
          </w:p>
        </w:tc>
        <w:tc>
          <w:tcPr>
            <w:tcW w:w="1926" w:type="dxa"/>
          </w:tcPr>
          <w:p w14:paraId="3738FD54" w14:textId="18897101" w:rsidR="00045BF4" w:rsidRPr="00207469" w:rsidRDefault="00045BF4" w:rsidP="0025263B">
            <w:pPr>
              <w:rPr>
                <w:sz w:val="18"/>
              </w:rPr>
            </w:pPr>
            <w:r>
              <w:rPr>
                <w:sz w:val="18"/>
              </w:rPr>
              <w:t>30% to 39.99%</w:t>
            </w:r>
          </w:p>
        </w:tc>
        <w:tc>
          <w:tcPr>
            <w:tcW w:w="1926" w:type="dxa"/>
          </w:tcPr>
          <w:p w14:paraId="6B82A999" w14:textId="6C1159CD" w:rsidR="00045BF4" w:rsidRPr="00207469" w:rsidRDefault="00045BF4" w:rsidP="0025263B">
            <w:pPr>
              <w:rPr>
                <w:sz w:val="18"/>
              </w:rPr>
            </w:pPr>
            <w:r>
              <w:rPr>
                <w:sz w:val="18"/>
              </w:rPr>
              <w:t>100 ms</w:t>
            </w:r>
          </w:p>
        </w:tc>
        <w:tc>
          <w:tcPr>
            <w:tcW w:w="1926" w:type="dxa"/>
          </w:tcPr>
          <w:p w14:paraId="0EB14E38" w14:textId="44327B59" w:rsidR="00045BF4" w:rsidRPr="00207469" w:rsidRDefault="00045BF4" w:rsidP="0025263B">
            <w:pPr>
              <w:rPr>
                <w:sz w:val="18"/>
              </w:rPr>
            </w:pPr>
            <w:r>
              <w:rPr>
                <w:sz w:val="18"/>
              </w:rPr>
              <w:t>200 ms</w:t>
            </w:r>
          </w:p>
        </w:tc>
      </w:tr>
      <w:tr w:rsidR="00045BF4" w:rsidRPr="00045BF4" w14:paraId="6FF82AC3" w14:textId="77777777" w:rsidTr="00045BF4">
        <w:trPr>
          <w:jc w:val="center"/>
        </w:trPr>
        <w:tc>
          <w:tcPr>
            <w:tcW w:w="1925" w:type="dxa"/>
          </w:tcPr>
          <w:p w14:paraId="3362761A" w14:textId="4CE4AD24" w:rsidR="00045BF4" w:rsidRPr="00207469" w:rsidRDefault="00045BF4" w:rsidP="0025263B">
            <w:pPr>
              <w:rPr>
                <w:sz w:val="18"/>
              </w:rPr>
            </w:pPr>
            <w:r>
              <w:rPr>
                <w:sz w:val="18"/>
              </w:rPr>
              <w:t>Active 2</w:t>
            </w:r>
          </w:p>
        </w:tc>
        <w:tc>
          <w:tcPr>
            <w:tcW w:w="1926" w:type="dxa"/>
          </w:tcPr>
          <w:p w14:paraId="635998F0" w14:textId="4E88AB7B" w:rsidR="00045BF4" w:rsidRPr="00207469" w:rsidRDefault="00045BF4" w:rsidP="0025263B">
            <w:pPr>
              <w:rPr>
                <w:sz w:val="18"/>
              </w:rPr>
            </w:pPr>
            <w:r>
              <w:rPr>
                <w:sz w:val="18"/>
              </w:rPr>
              <w:t>40 to 49.99%</w:t>
            </w:r>
          </w:p>
        </w:tc>
        <w:tc>
          <w:tcPr>
            <w:tcW w:w="1926" w:type="dxa"/>
          </w:tcPr>
          <w:p w14:paraId="4AD2F288" w14:textId="286A8778" w:rsidR="00045BF4" w:rsidRPr="00207469" w:rsidRDefault="00045BF4" w:rsidP="0025263B">
            <w:pPr>
              <w:rPr>
                <w:sz w:val="18"/>
              </w:rPr>
            </w:pPr>
            <w:r>
              <w:rPr>
                <w:sz w:val="18"/>
              </w:rPr>
              <w:t>200 ms</w:t>
            </w:r>
          </w:p>
        </w:tc>
        <w:tc>
          <w:tcPr>
            <w:tcW w:w="1926" w:type="dxa"/>
          </w:tcPr>
          <w:p w14:paraId="19AF2A58" w14:textId="7D4CD2E1" w:rsidR="00045BF4" w:rsidRPr="00207469" w:rsidRDefault="00045BF4" w:rsidP="0025263B">
            <w:pPr>
              <w:rPr>
                <w:sz w:val="18"/>
              </w:rPr>
            </w:pPr>
            <w:r>
              <w:rPr>
                <w:sz w:val="18"/>
              </w:rPr>
              <w:t>400 ms</w:t>
            </w:r>
          </w:p>
        </w:tc>
      </w:tr>
      <w:tr w:rsidR="00045BF4" w:rsidRPr="00045BF4" w14:paraId="2F1789B8" w14:textId="77777777" w:rsidTr="00045BF4">
        <w:trPr>
          <w:jc w:val="center"/>
        </w:trPr>
        <w:tc>
          <w:tcPr>
            <w:tcW w:w="1925" w:type="dxa"/>
          </w:tcPr>
          <w:p w14:paraId="1E8D6EE8" w14:textId="5F7F634D" w:rsidR="00045BF4" w:rsidRPr="00207469" w:rsidRDefault="00045BF4" w:rsidP="0025263B">
            <w:pPr>
              <w:rPr>
                <w:sz w:val="18"/>
              </w:rPr>
            </w:pPr>
            <w:r>
              <w:rPr>
                <w:sz w:val="18"/>
              </w:rPr>
              <w:t>Active 3</w:t>
            </w:r>
          </w:p>
        </w:tc>
        <w:tc>
          <w:tcPr>
            <w:tcW w:w="1926" w:type="dxa"/>
          </w:tcPr>
          <w:p w14:paraId="32E47BB2" w14:textId="25BE9427" w:rsidR="00045BF4" w:rsidRPr="00207469" w:rsidRDefault="00045BF4" w:rsidP="0025263B">
            <w:pPr>
              <w:rPr>
                <w:sz w:val="18"/>
              </w:rPr>
            </w:pPr>
            <w:r>
              <w:rPr>
                <w:sz w:val="18"/>
              </w:rPr>
              <w:t>50 to 65%</w:t>
            </w:r>
          </w:p>
        </w:tc>
        <w:tc>
          <w:tcPr>
            <w:tcW w:w="1926" w:type="dxa"/>
          </w:tcPr>
          <w:p w14:paraId="3D1DE3DC" w14:textId="48C27DE0" w:rsidR="00045BF4" w:rsidRPr="00207469" w:rsidRDefault="00045BF4" w:rsidP="0025263B">
            <w:pPr>
              <w:rPr>
                <w:sz w:val="18"/>
              </w:rPr>
            </w:pPr>
            <w:r>
              <w:rPr>
                <w:sz w:val="18"/>
              </w:rPr>
              <w:t>250 ms</w:t>
            </w:r>
          </w:p>
        </w:tc>
        <w:tc>
          <w:tcPr>
            <w:tcW w:w="1926" w:type="dxa"/>
          </w:tcPr>
          <w:p w14:paraId="3EBB361B" w14:textId="4506EE0F" w:rsidR="00045BF4" w:rsidRPr="00207469" w:rsidRDefault="00045BF4" w:rsidP="0025263B">
            <w:pPr>
              <w:rPr>
                <w:sz w:val="18"/>
              </w:rPr>
            </w:pPr>
            <w:r>
              <w:rPr>
                <w:sz w:val="18"/>
              </w:rPr>
              <w:t>500 ms</w:t>
            </w:r>
          </w:p>
        </w:tc>
      </w:tr>
      <w:tr w:rsidR="00045BF4" w:rsidRPr="00045BF4" w14:paraId="7AB4CBF2" w14:textId="77777777" w:rsidTr="00045BF4">
        <w:trPr>
          <w:jc w:val="center"/>
        </w:trPr>
        <w:tc>
          <w:tcPr>
            <w:tcW w:w="1925" w:type="dxa"/>
          </w:tcPr>
          <w:p w14:paraId="4CCF3BB2" w14:textId="2C0E59D5" w:rsidR="00045BF4" w:rsidRDefault="00045BF4" w:rsidP="0025263B">
            <w:pPr>
              <w:rPr>
                <w:sz w:val="18"/>
              </w:rPr>
            </w:pPr>
            <w:r>
              <w:rPr>
                <w:sz w:val="18"/>
              </w:rPr>
              <w:t>Restrictive</w:t>
            </w:r>
          </w:p>
        </w:tc>
        <w:tc>
          <w:tcPr>
            <w:tcW w:w="1926" w:type="dxa"/>
          </w:tcPr>
          <w:p w14:paraId="45320BFB" w14:textId="63E19A89" w:rsidR="00045BF4" w:rsidRPr="00045BF4" w:rsidRDefault="00045BF4" w:rsidP="0025263B">
            <w:pPr>
              <w:rPr>
                <w:sz w:val="18"/>
              </w:rPr>
            </w:pPr>
            <w:r>
              <w:rPr>
                <w:sz w:val="18"/>
              </w:rPr>
              <w:t>&gt; 65%</w:t>
            </w:r>
          </w:p>
        </w:tc>
        <w:tc>
          <w:tcPr>
            <w:tcW w:w="1926" w:type="dxa"/>
          </w:tcPr>
          <w:p w14:paraId="2C0280BD" w14:textId="058AC338" w:rsidR="00045BF4" w:rsidRPr="00045BF4" w:rsidRDefault="00045BF4" w:rsidP="0025263B">
            <w:pPr>
              <w:rPr>
                <w:sz w:val="18"/>
              </w:rPr>
            </w:pPr>
            <w:r>
              <w:rPr>
                <w:sz w:val="18"/>
              </w:rPr>
              <w:t>1000 ms</w:t>
            </w:r>
          </w:p>
        </w:tc>
        <w:tc>
          <w:tcPr>
            <w:tcW w:w="1926" w:type="dxa"/>
          </w:tcPr>
          <w:p w14:paraId="7711A35B" w14:textId="39718E31" w:rsidR="00045BF4" w:rsidRPr="00045BF4" w:rsidRDefault="00045BF4" w:rsidP="0025263B">
            <w:pPr>
              <w:rPr>
                <w:sz w:val="18"/>
              </w:rPr>
            </w:pPr>
            <w:r>
              <w:rPr>
                <w:sz w:val="18"/>
              </w:rPr>
              <w:t>1000 ms</w:t>
            </w:r>
          </w:p>
        </w:tc>
      </w:tr>
    </w:tbl>
    <w:p w14:paraId="5E097F98" w14:textId="5BDEA9B8" w:rsidR="00045BF4" w:rsidRDefault="00045BF4" w:rsidP="00207469"/>
    <w:p w14:paraId="0821E505" w14:textId="744C6D23" w:rsidR="00FB270A" w:rsidRDefault="00FB270A" w:rsidP="00207469">
      <w:r>
        <w:t>When the adaptive approach is used, the settings defined in TS 102 687 are used.</w:t>
      </w:r>
    </w:p>
    <w:p w14:paraId="72D780FB" w14:textId="60AD8A11" w:rsidR="00215452" w:rsidRDefault="00970E53" w:rsidP="00215452">
      <w:r>
        <w:fldChar w:fldCharType="begin"/>
      </w:r>
      <w:r>
        <w:instrText xml:space="preserve"> REF _Ref187766130 \h </w:instrText>
      </w:r>
      <w:r>
        <w:fldChar w:fldCharType="separate"/>
      </w:r>
      <w:r w:rsidR="00CF128B" w:rsidRPr="00191F27">
        <w:t xml:space="preserve">Figure </w:t>
      </w:r>
      <w:r w:rsidR="00CF128B">
        <w:rPr>
          <w:noProof/>
        </w:rPr>
        <w:t>6</w:t>
      </w:r>
      <w:r>
        <w:fldChar w:fldCharType="end"/>
      </w:r>
      <w:r w:rsidR="00215452">
        <w:t xml:space="preserve"> and </w:t>
      </w:r>
      <w:r w:rsidR="00215452">
        <w:fldChar w:fldCharType="begin"/>
      </w:r>
      <w:r w:rsidR="00215452">
        <w:instrText xml:space="preserve"> REF _Ref187766132 \h </w:instrText>
      </w:r>
      <w:r w:rsidR="00215452">
        <w:fldChar w:fldCharType="separate"/>
      </w:r>
      <w:r w:rsidR="00CF128B" w:rsidRPr="00191F27">
        <w:t xml:space="preserve">Figure </w:t>
      </w:r>
      <w:r w:rsidR="00CF128B">
        <w:rPr>
          <w:noProof/>
        </w:rPr>
        <w:t>7</w:t>
      </w:r>
      <w:r w:rsidR="00215452">
        <w:fldChar w:fldCharType="end"/>
      </w:r>
      <w:r w:rsidR="00215452">
        <w:t xml:space="preserve"> refer to scenarios where all the vehicles implement the same algorithm, reactive or adaptive, or do not implement any algorithm. </w:t>
      </w:r>
      <w:r w:rsidR="00215452">
        <w:fldChar w:fldCharType="begin"/>
      </w:r>
      <w:r w:rsidR="00215452">
        <w:instrText xml:space="preserve"> REF _Ref187766130 \h </w:instrText>
      </w:r>
      <w:r w:rsidR="00215452">
        <w:fldChar w:fldCharType="separate"/>
      </w:r>
      <w:r w:rsidR="00CF128B" w:rsidRPr="00191F27">
        <w:t xml:space="preserve">Figure </w:t>
      </w:r>
      <w:r w:rsidR="00CF128B">
        <w:rPr>
          <w:noProof/>
        </w:rPr>
        <w:t>6</w:t>
      </w:r>
      <w:r w:rsidR="00215452">
        <w:fldChar w:fldCharType="end"/>
      </w:r>
      <w:r w:rsidR="00215452">
        <w:t xml:space="preserve">, in particular, shows the Cumulative Distribution Function (CDF) of the CBR measured by every vehicle in every measurement interval </w:t>
      </w:r>
      <m:oMath>
        <m:sSub>
          <m:sSubPr>
            <m:ctrlPr>
              <w:rPr>
                <w:rFonts w:ascii="Cambria Math" w:hAnsi="Cambria Math"/>
                <w:i/>
              </w:rPr>
            </m:ctrlPr>
          </m:sSubPr>
          <m:e>
            <m:r>
              <w:rPr>
                <w:rFonts w:ascii="Cambria Math" w:hAnsi="Cambria Math"/>
              </w:rPr>
              <m:t>T</m:t>
            </m:r>
          </m:e>
          <m:sub>
            <m:r>
              <w:rPr>
                <w:rFonts w:ascii="Cambria Math" w:hAnsi="Cambria Math"/>
              </w:rPr>
              <m:t>CBR</m:t>
            </m:r>
          </m:sub>
        </m:sSub>
      </m:oMath>
      <w:r w:rsidR="00215452">
        <w:t>. The two subfigures refer to the two scenarios</w:t>
      </w:r>
      <w:r w:rsidR="00C657B2">
        <w:t xml:space="preserve">. The yellow curve, referring to no DCC implemented, provides a reference in the case all vehicles transmit exactly 10 packets per second. What can be observed is that both the reactive and the adaptive approaches reduce the measured CBR, which remains in most of the cases below or slightly above 0.6 as required by the limit imposed. </w:t>
      </w:r>
      <w:r w:rsidR="0016790B">
        <w:t>T</w:t>
      </w:r>
      <w:r w:rsidR="00C657B2">
        <w:t>he reactive approach implies a lower CBR than the adaptive approach, meaning that it is reducing the average packet generation frequency more than the adaptive approach.</w:t>
      </w:r>
      <w:r w:rsidR="00205B70">
        <w:t xml:space="preserve"> A last observation that appears relevant is that in most of the cases the CDF tends to remain around a small range of the CBR</w:t>
      </w:r>
      <w:r w:rsidR="0016790B">
        <w:t xml:space="preserve">; this is consistent </w:t>
      </w:r>
      <w:r w:rsidR="00205B70">
        <w:t>with the stationarity of the scenarios</w:t>
      </w:r>
      <w:r w:rsidR="0016790B">
        <w:t xml:space="preserve"> and means that the algorithm tends to reach an equilibrium at a certain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rsidR="0016790B">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rsidR="0016790B">
        <w:t xml:space="preserve">. However, </w:t>
      </w:r>
      <w:r w:rsidR="00205B70">
        <w:t xml:space="preserve">in Scenario B, where the channel is more congested, the CDF related to the reactive approach </w:t>
      </w:r>
      <w:r w:rsidR="0016790B">
        <w:t xml:space="preserve">spans over </w:t>
      </w:r>
      <w:r w:rsidR="00205B70">
        <w:t xml:space="preserve">a larger range of values of the CBR, which </w:t>
      </w:r>
      <w:r w:rsidR="0016790B">
        <w:t>suggests</w:t>
      </w:r>
      <w:r w:rsidR="00205B70">
        <w:t xml:space="preserve"> that the algorithm does not converge to </w:t>
      </w:r>
      <w:r w:rsidR="0016790B">
        <w:t>an equilibrium.</w:t>
      </w:r>
    </w:p>
    <w:p w14:paraId="7D4B0624" w14:textId="589CE66B" w:rsidR="00873EA7" w:rsidRDefault="00873EA7" w:rsidP="00207469"/>
    <w:p w14:paraId="471C036D" w14:textId="276D6849" w:rsidR="00873EA7" w:rsidRDefault="00CE0348" w:rsidP="00207469">
      <w:pPr>
        <w:jc w:val="center"/>
      </w:pPr>
      <w:r>
        <w:rPr>
          <w:noProof/>
          <w:lang w:val="it-IT" w:eastAsia="it-IT"/>
        </w:rPr>
        <w:drawing>
          <wp:inline distT="0" distB="0" distL="0" distR="0" wp14:anchorId="1A3F9BD1" wp14:editId="11B7F613">
            <wp:extent cx="2160000" cy="1620643"/>
            <wp:effectExtent l="0" t="0" r="0" b="0"/>
            <wp:docPr id="4" name="Immagine 4" descr="C:\Users\Alessandro Bazzi\AppData\Local\Microsoft\Windows\INetCache\Content.Word\Fig_DCC_ECC_cdf_pack350_Density2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ssandro Bazzi\AppData\Local\Microsoft\Windows\INetCache\Content.Word\Fig_DCC_ECC_cdf_pack350_Density200vkm.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r w:rsidRPr="00CE0348">
        <w:rPr>
          <w:noProof/>
          <w:lang w:val="it-IT" w:eastAsia="it-IT"/>
        </w:rPr>
        <w:drawing>
          <wp:inline distT="0" distB="0" distL="0" distR="0" wp14:anchorId="1DF55C4F" wp14:editId="675F6044">
            <wp:extent cx="2160000" cy="1620643"/>
            <wp:effectExtent l="0" t="0" r="0" b="0"/>
            <wp:docPr id="9" name="Immagine 9" descr="C:\Users\Alessandro Bazzi\OneDrive - Alma Mater Studiorum Università di Bologna\Progetti\Progetti attivi\61_STF_MCO_control\12_Riunone 16 gennaio 2025\Sims_CC\WiLabV2Xsim-main\Figures\Fig_DCC_ECC_cdf_pack1000_Density1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ssandro Bazzi\OneDrive - Alma Mater Studiorum Università di Bologna\Progetti\Progetti attivi\61_STF_MCO_control\12_Riunone 16 gennaio 2025\Sims_CC\WiLabV2Xsim-main\Figures\Fig_DCC_ECC_cdf_pack1000_Density100vkm.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p>
    <w:p w14:paraId="2B4685D9" w14:textId="02A5F32C" w:rsidR="00CE0348" w:rsidRDefault="00CE0348" w:rsidP="00207469">
      <w:pPr>
        <w:tabs>
          <w:tab w:val="left" w:pos="1701"/>
          <w:tab w:val="left" w:pos="5103"/>
          <w:tab w:val="left" w:pos="6237"/>
        </w:tabs>
      </w:pPr>
      <w:r>
        <w:tab/>
        <w:t>(a) 200 vehicles per km, 350 bytes</w:t>
      </w:r>
      <w:r>
        <w:tab/>
        <w:t>(b) 100 vehicles per km, 1000 bytes</w:t>
      </w:r>
    </w:p>
    <w:p w14:paraId="3ACFC65D" w14:textId="06A2EFC2" w:rsidR="00CE0348" w:rsidRDefault="00CE0348" w:rsidP="00CE0348">
      <w:pPr>
        <w:pStyle w:val="Caption"/>
        <w:jc w:val="center"/>
      </w:pPr>
      <w:bookmarkStart w:id="195" w:name="_Ref187766130"/>
      <w:r w:rsidRPr="00191F27">
        <w:t xml:space="preserve">Figure </w:t>
      </w:r>
      <w:r w:rsidR="00115785">
        <w:fldChar w:fldCharType="begin"/>
      </w:r>
      <w:r w:rsidR="00115785">
        <w:instrText xml:space="preserve"> SEQ Figure \* ARABIC </w:instrText>
      </w:r>
      <w:r w:rsidR="00115785">
        <w:fldChar w:fldCharType="separate"/>
      </w:r>
      <w:r w:rsidR="00115785">
        <w:rPr>
          <w:noProof/>
        </w:rPr>
        <w:t>6</w:t>
      </w:r>
      <w:r w:rsidR="00115785">
        <w:rPr>
          <w:noProof/>
        </w:rPr>
        <w:fldChar w:fldCharType="end"/>
      </w:r>
      <w:bookmarkEnd w:id="195"/>
      <w:r w:rsidRPr="00191F27">
        <w:t>:</w:t>
      </w:r>
      <w:r>
        <w:t xml:space="preserve"> Cumulative distribution function of the measured CBR</w:t>
      </w:r>
    </w:p>
    <w:p w14:paraId="0F8F2D77" w14:textId="118AF1E0" w:rsidR="00E12D73" w:rsidRDefault="00C657B2" w:rsidP="00207469">
      <w:r>
        <w:t xml:space="preserve">The impact on the </w:t>
      </w:r>
      <w:r w:rsidR="0016790B">
        <w:t xml:space="preserve">quality of the communication </w:t>
      </w:r>
      <w:r>
        <w:t xml:space="preserve">is shown in </w:t>
      </w:r>
      <w:r w:rsidR="00215452">
        <w:fldChar w:fldCharType="begin"/>
      </w:r>
      <w:r w:rsidR="00215452">
        <w:instrText xml:space="preserve"> REF _Ref187766132 \h </w:instrText>
      </w:r>
      <w:r w:rsidR="00215452">
        <w:fldChar w:fldCharType="separate"/>
      </w:r>
      <w:r w:rsidR="00CF128B" w:rsidRPr="00191F27">
        <w:t xml:space="preserve">Figure </w:t>
      </w:r>
      <w:r w:rsidR="00CF128B">
        <w:rPr>
          <w:noProof/>
        </w:rPr>
        <w:t>7</w:t>
      </w:r>
      <w:r w:rsidR="00215452">
        <w:fldChar w:fldCharType="end"/>
      </w:r>
      <w:r>
        <w:t xml:space="preserve">, where the PRR multiplied by the average messages sent per vehicle per second is shown varying the transmitter-receiver distance. The metric observed </w:t>
      </w:r>
      <w:r w:rsidR="00205B70">
        <w:t xml:space="preserve">corresponds to </w:t>
      </w:r>
      <w:r>
        <w:t xml:space="preserve">the average number of packets that can be correctly decoded by a receiver at the given distance and </w:t>
      </w:r>
      <w:r w:rsidR="00205B70">
        <w:t xml:space="preserve">makes the performance </w:t>
      </w:r>
      <w:r w:rsidR="0016790B">
        <w:t xml:space="preserve">of the various cases </w:t>
      </w:r>
      <w:r w:rsidR="00205B70">
        <w:t>comparable</w:t>
      </w:r>
      <w:r w:rsidR="0016790B">
        <w:t>,</w:t>
      </w:r>
      <w:r w:rsidR="00205B70">
        <w:t xml:space="preserve"> even if the number of generated packets is not the same.</w:t>
      </w:r>
      <w:r>
        <w:t xml:space="preserve"> As observable, in both scenarios</w:t>
      </w:r>
      <w:r w:rsidR="0016790B">
        <w:t xml:space="preserve">, when </w:t>
      </w:r>
      <w:r>
        <w:t xml:space="preserve">no DCC is </w:t>
      </w:r>
      <w:r w:rsidR="003359E3">
        <w:t>implemented,</w:t>
      </w:r>
      <w:r>
        <w:t xml:space="preserve"> the communication becomes unreliable at a shorter distance compared to the other cases. </w:t>
      </w:r>
      <w:r w:rsidR="00205B70">
        <w:t>For example, looking at scenario A (</w:t>
      </w:r>
      <w:r w:rsidR="00205B70">
        <w:fldChar w:fldCharType="begin"/>
      </w:r>
      <w:r w:rsidR="00205B70">
        <w:instrText xml:space="preserve"> REF _Ref187766132 \h </w:instrText>
      </w:r>
      <w:r w:rsidR="00205B70">
        <w:fldChar w:fldCharType="separate"/>
      </w:r>
      <w:r w:rsidR="00CF128B" w:rsidRPr="00191F27">
        <w:t xml:space="preserve">Figure </w:t>
      </w:r>
      <w:r w:rsidR="00CF128B">
        <w:rPr>
          <w:noProof/>
        </w:rPr>
        <w:t>7</w:t>
      </w:r>
      <w:r w:rsidR="00205B70">
        <w:fldChar w:fldCharType="end"/>
      </w:r>
      <w:r w:rsidR="00205B70">
        <w:t>(a)), only one average packet can be correctly decoded at 600 m if there is no DCC, whereas more than two can be correctly decoded if a DCC algorithm is implemented. Comparing the two algorithms, the adaptive approach appears to provide a slightly higher number of correctly decoded packets</w:t>
      </w:r>
      <w:r w:rsidR="0016790B">
        <w:t xml:space="preserve">, at least </w:t>
      </w:r>
      <w:r w:rsidR="00205B70">
        <w:t>up to a certain distance.</w:t>
      </w:r>
      <w:r w:rsidR="0016790B">
        <w:t xml:space="preserve"> </w:t>
      </w:r>
      <w:r w:rsidR="00E12D73">
        <w:t xml:space="preserve">Overall, a higher transmission rate privileges the reception at shorter distance, whereas a lower transmission rate does the opposite. </w:t>
      </w:r>
    </w:p>
    <w:p w14:paraId="1D61988B" w14:textId="701492E0" w:rsidR="00873EA7" w:rsidRDefault="00CE0348" w:rsidP="00207469">
      <w:pPr>
        <w:jc w:val="center"/>
      </w:pPr>
      <w:r w:rsidRPr="00CE0348">
        <w:rPr>
          <w:noProof/>
          <w:lang w:val="it-IT" w:eastAsia="it-IT"/>
        </w:rPr>
        <w:drawing>
          <wp:inline distT="0" distB="0" distL="0" distR="0" wp14:anchorId="0772ED81" wp14:editId="0FA787A8">
            <wp:extent cx="2160000" cy="1620643"/>
            <wp:effectExtent l="0" t="0" r="0" b="0"/>
            <wp:docPr id="10" name="Immagine 10" descr="C:\Users\Alessandro Bazzi\OneDrive - Alma Mater Studiorum Università di Bologna\Progetti\Progetti attivi\61_STF_MCO_control\12_Riunone 16 gennaio 2025\Sims_CC\WiLabV2Xsim-main\Figures\Fig_DCC_ECC_PRRXvsD_pack350_Density2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ssandro Bazzi\OneDrive - Alma Mater Studiorum Università di Bologna\Progetti\Progetti attivi\61_STF_MCO_control\12_Riunone 16 gennaio 2025\Sims_CC\WiLabV2Xsim-main\Figures\Fig_DCC_ECC_PRRXvsD_pack350_Density200vkm.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r w:rsidRPr="00CE0348">
        <w:rPr>
          <w:noProof/>
          <w:lang w:val="it-IT" w:eastAsia="it-IT"/>
        </w:rPr>
        <w:drawing>
          <wp:inline distT="0" distB="0" distL="0" distR="0" wp14:anchorId="47A88A4C" wp14:editId="2C6DDB4A">
            <wp:extent cx="2160000" cy="1620643"/>
            <wp:effectExtent l="0" t="0" r="0" b="0"/>
            <wp:docPr id="12" name="Immagine 12" descr="C:\Users\Alessandro Bazzi\OneDrive - Alma Mater Studiorum Università di Bologna\Progetti\Progetti attivi\61_STF_MCO_control\12_Riunone 16 gennaio 2025\Sims_CC\WiLabV2Xsim-main\Figures\Fig_DCC_ECC_PRRXvsD_pack1000_Density100vk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ssandro Bazzi\OneDrive - Alma Mater Studiorum Università di Bologna\Progetti\Progetti attivi\61_STF_MCO_control\12_Riunone 16 gennaio 2025\Sims_CC\WiLabV2Xsim-main\Figures\Fig_DCC_ECC_PRRXvsD_pack1000_Density100vkm.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p>
    <w:p w14:paraId="77BF5ED9" w14:textId="77777777" w:rsidR="00CE0348" w:rsidRDefault="00CE0348" w:rsidP="00CE0348">
      <w:pPr>
        <w:tabs>
          <w:tab w:val="left" w:pos="1701"/>
          <w:tab w:val="left" w:pos="5103"/>
          <w:tab w:val="left" w:pos="6237"/>
        </w:tabs>
      </w:pPr>
      <w:r>
        <w:tab/>
        <w:t>(a) 200 vehicles per km, 350 bytes</w:t>
      </w:r>
      <w:r>
        <w:tab/>
        <w:t>(b) 100 vehicles per km, 1000 bytes</w:t>
      </w:r>
    </w:p>
    <w:p w14:paraId="03A6916A" w14:textId="55868FB4" w:rsidR="00CE0348" w:rsidRPr="0027479C" w:rsidRDefault="00CE0348" w:rsidP="00CE0348">
      <w:pPr>
        <w:pStyle w:val="Caption"/>
        <w:jc w:val="center"/>
      </w:pPr>
      <w:bookmarkStart w:id="196" w:name="_Ref187766132"/>
      <w:r w:rsidRPr="00191F27">
        <w:t xml:space="preserve">Figure </w:t>
      </w:r>
      <w:r w:rsidR="00115785">
        <w:fldChar w:fldCharType="begin"/>
      </w:r>
      <w:r w:rsidR="00115785">
        <w:instrText xml:space="preserve"> SEQ Figure \* ARABIC </w:instrText>
      </w:r>
      <w:r w:rsidR="00115785">
        <w:fldChar w:fldCharType="separate"/>
      </w:r>
      <w:r w:rsidR="00115785">
        <w:rPr>
          <w:noProof/>
        </w:rPr>
        <w:t>7</w:t>
      </w:r>
      <w:r w:rsidR="00115785">
        <w:rPr>
          <w:noProof/>
        </w:rPr>
        <w:fldChar w:fldCharType="end"/>
      </w:r>
      <w:bookmarkEnd w:id="196"/>
      <w:r w:rsidRPr="00191F27">
        <w:t>:</w:t>
      </w:r>
      <w:r>
        <w:t xml:space="preserve"> </w:t>
      </w:r>
      <w:r w:rsidR="006C4B4D">
        <w:t>Average number of messages per second correctly received from a station at a given distance</w:t>
      </w:r>
    </w:p>
    <w:p w14:paraId="4C0D19DE" w14:textId="26E92E95" w:rsidR="00215452" w:rsidRDefault="0016790B" w:rsidP="00215452">
      <w:r>
        <w:t xml:space="preserve">The results shown above suggest that the adaptive approach is able to maintain the channel occupation closer to the limit imposed, with a more stable value of the selected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t xml:space="preserve"> and with slightly higher number of correctly decoded packets at short-to-medium distances. However, </w:t>
      </w:r>
      <w:r w:rsidR="00A7773F">
        <w:t>the difference may not appear significant.</w:t>
      </w:r>
    </w:p>
    <w:p w14:paraId="60539A60" w14:textId="51C45892" w:rsidR="00CE0348" w:rsidRDefault="00A7773F" w:rsidP="00207469">
      <w:r>
        <w:t xml:space="preserve">In order to verify what happens if not all the vehicles implement the same algorithm, </w:t>
      </w:r>
      <w:r w:rsidR="00215452">
        <w:fldChar w:fldCharType="begin"/>
      </w:r>
      <w:r w:rsidR="00215452">
        <w:instrText xml:space="preserve"> REF _Ref187766134 \h </w:instrText>
      </w:r>
      <w:r w:rsidR="00215452">
        <w:fldChar w:fldCharType="separate"/>
      </w:r>
      <w:r w:rsidR="00CF128B" w:rsidRPr="00191F27">
        <w:t xml:space="preserve">Figure </w:t>
      </w:r>
      <w:r w:rsidR="00CF128B">
        <w:rPr>
          <w:noProof/>
        </w:rPr>
        <w:t>8</w:t>
      </w:r>
      <w:r w:rsidR="00215452">
        <w:fldChar w:fldCharType="end"/>
      </w:r>
      <w:r>
        <w:t xml:space="preserve"> refers to a case where 50% of the vehicles implement the reactive approach and the remaining 50% implement the adaptive approach. In </w:t>
      </w:r>
      <w:r>
        <w:fldChar w:fldCharType="begin"/>
      </w:r>
      <w:r>
        <w:instrText xml:space="preserve"> REF _Ref187766134 \h </w:instrText>
      </w:r>
      <w:r>
        <w:fldChar w:fldCharType="separate"/>
      </w:r>
      <w:r w:rsidR="00CF128B" w:rsidRPr="00191F27">
        <w:t xml:space="preserve">Figure </w:t>
      </w:r>
      <w:r w:rsidR="00CF128B">
        <w:rPr>
          <w:noProof/>
        </w:rPr>
        <w:t>8</w:t>
      </w:r>
      <w:r>
        <w:fldChar w:fldCharType="end"/>
      </w:r>
      <w:r>
        <w:t xml:space="preserve">, in particular, the minimum inter-packet time (i.e.,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t>+</w:t>
      </w:r>
      <m:oMath>
        <m:sSub>
          <m:sSubPr>
            <m:ctrlPr>
              <w:rPr>
                <w:rFonts w:ascii="Cambria Math" w:hAnsi="Cambria Math"/>
                <w:i/>
              </w:rPr>
            </m:ctrlPr>
          </m:sSubPr>
          <m:e>
            <m:r>
              <w:rPr>
                <w:rFonts w:ascii="Cambria Math" w:hAnsi="Cambria Math"/>
              </w:rPr>
              <m:t>T</m:t>
            </m:r>
          </m:e>
          <m:sub>
            <m:r>
              <w:rPr>
                <w:rFonts w:ascii="Cambria Math" w:hAnsi="Cambria Math"/>
              </w:rPr>
              <m:t>off</m:t>
            </m:r>
          </m:sub>
        </m:sSub>
      </m:oMath>
      <w:r>
        <w:t>) of two stations are shown varying the simulation time. The two stations are randomly selected, one among those implementing the reactive approach and the other among those implementing the adaptive approach. What can be observed is that the two stations have significantly different values of the minimum inter-packet time; the reactive approach, in particular, tends to use a larger gap, which means a lower frequency of packets sent. Having stations that generate packets at different frequencies because they are using different algorithms appears as a possible issue.</w:t>
      </w:r>
    </w:p>
    <w:p w14:paraId="013E9B6B" w14:textId="6FC8D31C" w:rsidR="00CE0348" w:rsidRDefault="006C4B4D" w:rsidP="00207469">
      <w:pPr>
        <w:jc w:val="center"/>
      </w:pPr>
      <w:r w:rsidRPr="006C4B4D">
        <w:rPr>
          <w:noProof/>
          <w:lang w:val="it-IT" w:eastAsia="it-IT"/>
        </w:rPr>
        <w:drawing>
          <wp:inline distT="0" distB="0" distL="0" distR="0" wp14:anchorId="4645CB20" wp14:editId="09CC9B6F">
            <wp:extent cx="2160000" cy="1620643"/>
            <wp:effectExtent l="0" t="0" r="0" b="0"/>
            <wp:docPr id="15" name="Immagine 15" descr="C:\Users\Alessandro Bazzi\OneDrive - Alma Mater Studiorum Università di Bologna\Progetti\Progetti attivi\61_STF_MCO_control\12_Riunone 16 gennaio 2025\Sims_CC\WiLabV2Xsim-main\Figures\Fig_DCC_ECC_IPT_pack350_Density200vkm_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ssandro Bazzi\OneDrive - Alma Mater Studiorum Università di Bologna\Progetti\Progetti attivi\61_STF_MCO_control\12_Riunone 16 gennaio 2025\Sims_CC\WiLabV2Xsim-main\Figures\Fig_DCC_ECC_IPT_pack350_Density200vkm_Mix.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r w:rsidRPr="006C4B4D">
        <w:rPr>
          <w:snapToGrid w:val="0"/>
          <w:color w:val="000000"/>
          <w:w w:val="0"/>
          <w:sz w:val="0"/>
          <w:szCs w:val="0"/>
          <w:u w:color="000000"/>
          <w:bdr w:val="none" w:sz="0" w:space="0" w:color="000000"/>
          <w:shd w:val="clear" w:color="000000" w:fill="000000"/>
          <w:lang w:val="x-none" w:eastAsia="x-none" w:bidi="x-none"/>
        </w:rPr>
        <w:t xml:space="preserve"> </w:t>
      </w:r>
      <w:r w:rsidRPr="006C4B4D">
        <w:rPr>
          <w:noProof/>
          <w:snapToGrid w:val="0"/>
          <w:color w:val="000000"/>
          <w:w w:val="0"/>
          <w:sz w:val="0"/>
          <w:szCs w:val="0"/>
          <w:u w:color="000000"/>
          <w:bdr w:val="none" w:sz="0" w:space="0" w:color="000000"/>
          <w:shd w:val="clear" w:color="000000" w:fill="000000"/>
          <w:lang w:val="it-IT" w:eastAsia="it-IT"/>
        </w:rPr>
        <w:drawing>
          <wp:inline distT="0" distB="0" distL="0" distR="0" wp14:anchorId="16D992D9" wp14:editId="590044A0">
            <wp:extent cx="2160000" cy="1620643"/>
            <wp:effectExtent l="0" t="0" r="0" b="0"/>
            <wp:docPr id="17" name="Immagine 17" descr="C:\Users\Alessandro Bazzi\OneDrive - Alma Mater Studiorum Università di Bologna\Progetti\Progetti attivi\61_STF_MCO_control\12_Riunone 16 gennaio 2025\Sims_CC\WiLabV2Xsim-main\Figures\Fig_DCC_ECC_IPT_pack1000_Density100vkm_M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ssandro Bazzi\OneDrive - Alma Mater Studiorum Università di Bologna\Progetti\Progetti attivi\61_STF_MCO_control\12_Riunone 16 gennaio 2025\Sims_CC\WiLabV2Xsim-main\Figures\Fig_DCC_ECC_IPT_pack1000_Density100vkm_Mix.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60000" cy="1620643"/>
                    </a:xfrm>
                    <a:prstGeom prst="rect">
                      <a:avLst/>
                    </a:prstGeom>
                    <a:noFill/>
                    <a:ln>
                      <a:noFill/>
                    </a:ln>
                  </pic:spPr>
                </pic:pic>
              </a:graphicData>
            </a:graphic>
          </wp:inline>
        </w:drawing>
      </w:r>
    </w:p>
    <w:p w14:paraId="4C7933D6" w14:textId="77777777" w:rsidR="00CE0348" w:rsidRDefault="00CE0348" w:rsidP="00CE0348">
      <w:pPr>
        <w:tabs>
          <w:tab w:val="left" w:pos="1701"/>
          <w:tab w:val="left" w:pos="5103"/>
          <w:tab w:val="left" w:pos="6237"/>
        </w:tabs>
      </w:pPr>
      <w:r>
        <w:tab/>
        <w:t>(a) 200 vehicles per km, 350 bytes</w:t>
      </w:r>
      <w:r>
        <w:tab/>
        <w:t>(b) 100 vehicles per km, 1000 bytes</w:t>
      </w:r>
    </w:p>
    <w:p w14:paraId="60C66ED5" w14:textId="2334CFCA" w:rsidR="00CE0348" w:rsidRPr="0027479C" w:rsidRDefault="00CE0348" w:rsidP="00CE0348">
      <w:pPr>
        <w:pStyle w:val="Caption"/>
        <w:jc w:val="center"/>
      </w:pPr>
      <w:bookmarkStart w:id="197" w:name="_Ref187766134"/>
      <w:r w:rsidRPr="00191F27">
        <w:t xml:space="preserve">Figure </w:t>
      </w:r>
      <w:r w:rsidR="00115785">
        <w:fldChar w:fldCharType="begin"/>
      </w:r>
      <w:r w:rsidR="00115785">
        <w:instrText xml:space="preserve"> SEQ Figure \* ARABIC </w:instrText>
      </w:r>
      <w:r w:rsidR="00115785">
        <w:fldChar w:fldCharType="separate"/>
      </w:r>
      <w:r w:rsidR="00115785">
        <w:rPr>
          <w:noProof/>
        </w:rPr>
        <w:t>8</w:t>
      </w:r>
      <w:r w:rsidR="00115785">
        <w:rPr>
          <w:noProof/>
        </w:rPr>
        <w:fldChar w:fldCharType="end"/>
      </w:r>
      <w:bookmarkEnd w:id="197"/>
      <w:r w:rsidRPr="00191F27">
        <w:t>:</w:t>
      </w:r>
      <w:r>
        <w:t xml:space="preserve"> </w:t>
      </w:r>
      <w:r w:rsidR="006C4B4D">
        <w:t>Variation of the minimum inter-</w:t>
      </w:r>
      <w:r w:rsidR="00D159E8">
        <w:t xml:space="preserve">packet </w:t>
      </w:r>
      <w:r w:rsidR="006C4B4D">
        <w:t xml:space="preserve">generation interval </w:t>
      </w:r>
      <w:r w:rsidR="00D159E8">
        <w:t>for randomly selected stations varying time.</w:t>
      </w:r>
    </w:p>
    <w:p w14:paraId="1111AA80" w14:textId="58A83502" w:rsidR="00CE0348" w:rsidRDefault="00CE0348" w:rsidP="00207469">
      <w:pPr>
        <w:jc w:val="center"/>
      </w:pPr>
    </w:p>
    <w:p w14:paraId="4F9FA76F" w14:textId="204D807B" w:rsidR="00A7773F" w:rsidRPr="00C16E51" w:rsidRDefault="00D159E8" w:rsidP="00A7773F">
      <w:r>
        <w:t>T</w:t>
      </w:r>
      <w:r w:rsidR="00A7773F">
        <w:t>he results shown are consistent with what discussed in the literature</w:t>
      </w:r>
      <w:r w:rsidR="0090231B">
        <w:t xml:space="preserve">. The following </w:t>
      </w:r>
      <w:r w:rsidR="00A7773F">
        <w:t xml:space="preserve">observations </w:t>
      </w:r>
      <w:r w:rsidR="0090231B">
        <w:t>can be remarked</w:t>
      </w:r>
      <w:r w:rsidR="00A7773F">
        <w:t>.</w:t>
      </w:r>
    </w:p>
    <w:p w14:paraId="289F7401" w14:textId="3EE1965B" w:rsidR="00E12D73" w:rsidRDefault="00207469" w:rsidP="00026415">
      <w:pPr>
        <w:ind w:left="1701" w:hanging="1133"/>
        <w:jc w:val="both"/>
        <w:rPr>
          <w:rFonts w:eastAsiaTheme="minorEastAsia"/>
        </w:rPr>
      </w:pPr>
      <w:r>
        <w:rPr>
          <w:rFonts w:eastAsiaTheme="minorEastAsia"/>
          <w:b/>
          <w:bCs/>
        </w:rPr>
        <w:t>N</w:t>
      </w:r>
      <w:r w:rsidR="007F4679">
        <w:rPr>
          <w:rFonts w:eastAsiaTheme="minorEastAsia"/>
          <w:b/>
          <w:bCs/>
        </w:rPr>
        <w:t>ote</w:t>
      </w:r>
      <w:r>
        <w:rPr>
          <w:rFonts w:eastAsiaTheme="minorEastAsia"/>
          <w:b/>
          <w:bCs/>
        </w:rPr>
        <w:t xml:space="preserve"> 1</w:t>
      </w:r>
      <w:r w:rsidR="00A7773F" w:rsidRPr="000D68D2">
        <w:rPr>
          <w:rFonts w:eastAsiaTheme="minorEastAsia"/>
          <w:b/>
          <w:bCs/>
        </w:rPr>
        <w:t>:</w:t>
      </w:r>
      <w:r w:rsidR="00A7773F" w:rsidRPr="000D68D2">
        <w:rPr>
          <w:rFonts w:eastAsiaTheme="minorEastAsia"/>
          <w:b/>
          <w:bCs/>
        </w:rPr>
        <w:tab/>
      </w:r>
      <w:r w:rsidR="00E12D73">
        <w:rPr>
          <w:rFonts w:eastAsiaTheme="minorEastAsia"/>
        </w:rPr>
        <w:t xml:space="preserve">The specific algorithm that is adopted impacts on the system performance. The algorithm acts on the trade-off between the number of packets sent and the probability of collisions; reducing the packets sent </w:t>
      </w:r>
      <w:r w:rsidR="00D159E8">
        <w:rPr>
          <w:rFonts w:eastAsiaTheme="minorEastAsia"/>
        </w:rPr>
        <w:t>may reduce the information available at shorter distance but increase that available at longer distance. This means that the distance from the limit at which the congestion control algorithm works has a significant impact on the system.</w:t>
      </w:r>
    </w:p>
    <w:p w14:paraId="523BF0F5" w14:textId="73E60BC2" w:rsidR="00D159E8" w:rsidRPr="000D68D2" w:rsidRDefault="00207469" w:rsidP="00026415">
      <w:pPr>
        <w:ind w:left="1701" w:hanging="1133"/>
        <w:jc w:val="both"/>
        <w:rPr>
          <w:rFonts w:eastAsiaTheme="minorEastAsia"/>
        </w:rPr>
      </w:pPr>
      <w:r>
        <w:rPr>
          <w:rFonts w:eastAsiaTheme="minorEastAsia"/>
          <w:b/>
          <w:bCs/>
        </w:rPr>
        <w:t>N</w:t>
      </w:r>
      <w:r w:rsidR="007F4679">
        <w:rPr>
          <w:rFonts w:eastAsiaTheme="minorEastAsia"/>
          <w:b/>
          <w:bCs/>
        </w:rPr>
        <w:t>ote</w:t>
      </w:r>
      <w:r>
        <w:rPr>
          <w:rFonts w:eastAsiaTheme="minorEastAsia"/>
          <w:b/>
          <w:bCs/>
        </w:rPr>
        <w:t xml:space="preserve"> 2</w:t>
      </w:r>
      <w:r w:rsidR="00A7773F" w:rsidRPr="000D68D2">
        <w:rPr>
          <w:rFonts w:eastAsiaTheme="minorEastAsia"/>
          <w:b/>
          <w:bCs/>
        </w:rPr>
        <w:t>:</w:t>
      </w:r>
      <w:r w:rsidR="00A7773F" w:rsidRPr="000D68D2">
        <w:rPr>
          <w:rFonts w:eastAsiaTheme="minorEastAsia"/>
          <w:b/>
          <w:bCs/>
        </w:rPr>
        <w:tab/>
      </w:r>
      <w:r w:rsidR="0050499F">
        <w:rPr>
          <w:rFonts w:eastAsiaTheme="minorEastAsia"/>
        </w:rPr>
        <w:t xml:space="preserve">Comply with the </w:t>
      </w:r>
      <w:r w:rsidR="00D159E8">
        <w:rPr>
          <w:rFonts w:eastAsiaTheme="minorEastAsia"/>
        </w:rPr>
        <w:t xml:space="preserve">limit described in </w:t>
      </w:r>
      <w:r w:rsidR="004A3FC7">
        <w:rPr>
          <w:rFonts w:eastAsiaTheme="minorEastAsia"/>
        </w:rPr>
        <w:t>clause</w:t>
      </w:r>
      <w:r w:rsidR="00D159E8">
        <w:rPr>
          <w:rFonts w:eastAsiaTheme="minorEastAsia"/>
        </w:rPr>
        <w:t xml:space="preserve"> </w:t>
      </w:r>
      <w:r w:rsidR="00D159E8">
        <w:rPr>
          <w:rFonts w:eastAsiaTheme="minorEastAsia"/>
        </w:rPr>
        <w:fldChar w:fldCharType="begin"/>
      </w:r>
      <w:r w:rsidR="00D159E8">
        <w:rPr>
          <w:rFonts w:eastAsiaTheme="minorEastAsia"/>
        </w:rPr>
        <w:instrText xml:space="preserve"> REF _Ref187825511 \r \h </w:instrText>
      </w:r>
      <w:r w:rsidR="00D159E8">
        <w:rPr>
          <w:rFonts w:eastAsiaTheme="minorEastAsia"/>
        </w:rPr>
      </w:r>
      <w:r w:rsidR="00D159E8">
        <w:rPr>
          <w:rFonts w:eastAsiaTheme="minorEastAsia"/>
        </w:rPr>
        <w:fldChar w:fldCharType="separate"/>
      </w:r>
      <w:r w:rsidR="00D159E8">
        <w:rPr>
          <w:rFonts w:eastAsiaTheme="minorEastAsia"/>
        </w:rPr>
        <w:t>5.2.4</w:t>
      </w:r>
      <w:r w:rsidR="00D159E8">
        <w:rPr>
          <w:rFonts w:eastAsiaTheme="minorEastAsia"/>
        </w:rPr>
        <w:fldChar w:fldCharType="end"/>
      </w:r>
      <w:r w:rsidR="00D159E8">
        <w:rPr>
          <w:rFonts w:eastAsiaTheme="minorEastAsia"/>
        </w:rPr>
        <w:t xml:space="preserve"> </w:t>
      </w:r>
      <w:r w:rsidR="0050499F">
        <w:rPr>
          <w:rFonts w:eastAsiaTheme="minorEastAsia"/>
        </w:rPr>
        <w:t>may</w:t>
      </w:r>
      <w:r w:rsidR="00D159E8">
        <w:rPr>
          <w:rFonts w:eastAsiaTheme="minorEastAsia"/>
        </w:rPr>
        <w:t xml:space="preserve"> not </w:t>
      </w:r>
      <w:r w:rsidR="0050499F">
        <w:rPr>
          <w:rFonts w:eastAsiaTheme="minorEastAsia"/>
        </w:rPr>
        <w:t xml:space="preserve">be </w:t>
      </w:r>
      <w:r w:rsidR="00D159E8">
        <w:rPr>
          <w:rFonts w:eastAsiaTheme="minorEastAsia"/>
        </w:rPr>
        <w:t>sufficient to guarantee a certain performance</w:t>
      </w:r>
      <w:r w:rsidR="0050499F">
        <w:rPr>
          <w:rFonts w:eastAsiaTheme="minorEastAsia"/>
        </w:rPr>
        <w:t xml:space="preserve"> and fairness among stations</w:t>
      </w:r>
      <w:r w:rsidR="00D159E8">
        <w:rPr>
          <w:rFonts w:eastAsiaTheme="minorEastAsia"/>
        </w:rPr>
        <w:t xml:space="preserve">. Different algorithms </w:t>
      </w:r>
      <w:r w:rsidR="0050499F">
        <w:rPr>
          <w:rFonts w:eastAsiaTheme="minorEastAsia"/>
        </w:rPr>
        <w:t xml:space="preserve">may </w:t>
      </w:r>
      <w:r w:rsidR="00D159E8">
        <w:rPr>
          <w:rFonts w:eastAsiaTheme="minorEastAsia"/>
        </w:rPr>
        <w:t>imply</w:t>
      </w:r>
      <w:r w:rsidR="0050499F">
        <w:rPr>
          <w:rFonts w:eastAsiaTheme="minorEastAsia"/>
        </w:rPr>
        <w:t>,</w:t>
      </w:r>
      <w:r w:rsidR="00D159E8">
        <w:rPr>
          <w:rFonts w:eastAsiaTheme="minorEastAsia"/>
        </w:rPr>
        <w:t xml:space="preserve"> </w:t>
      </w:r>
      <w:r w:rsidR="0050499F">
        <w:rPr>
          <w:rFonts w:eastAsiaTheme="minorEastAsia"/>
        </w:rPr>
        <w:t xml:space="preserve">in fact, </w:t>
      </w:r>
      <w:r w:rsidR="00D159E8">
        <w:rPr>
          <w:rFonts w:eastAsiaTheme="minorEastAsia"/>
        </w:rPr>
        <w:t xml:space="preserve">that different amount of information is available at the receivers, which means that the principle of fair access to the channel may not be guaranteed. </w:t>
      </w:r>
      <w:r w:rsidR="0050499F">
        <w:rPr>
          <w:rFonts w:eastAsiaTheme="minorEastAsia"/>
        </w:rPr>
        <w:t xml:space="preserve">A solution may be </w:t>
      </w:r>
      <w:r w:rsidR="00D159E8">
        <w:rPr>
          <w:rFonts w:eastAsiaTheme="minorEastAsia"/>
        </w:rPr>
        <w:t>to have a single algorithm or at least stricter rules for the definition of the algorithm.</w:t>
      </w:r>
    </w:p>
    <w:p w14:paraId="48FA273B" w14:textId="07E9534A" w:rsidR="00F83594" w:rsidRPr="00B92FB9" w:rsidRDefault="00F83594" w:rsidP="00F140CF">
      <w:pPr>
        <w:pStyle w:val="Heading3"/>
        <w:numPr>
          <w:ilvl w:val="2"/>
          <w:numId w:val="11"/>
        </w:numPr>
        <w:ind w:left="1134"/>
      </w:pPr>
      <w:bookmarkStart w:id="198" w:name="_Toc197337022"/>
      <w:r>
        <w:t>Analysis of possible variables impacting on congestion control</w:t>
      </w:r>
      <w:bookmarkEnd w:id="198"/>
    </w:p>
    <w:p w14:paraId="215E7AFF" w14:textId="0E453AD9" w:rsidR="00D159E8" w:rsidRDefault="00612186" w:rsidP="00207469">
      <w:r>
        <w:t>Different options to cope with congested situations are suggested in Release 1, including T</w:t>
      </w:r>
      <w:r w:rsidR="005506B3" w:rsidRPr="00B1354A">
        <w:t xml:space="preserve">ransmit </w:t>
      </w:r>
      <w:r>
        <w:t>P</w:t>
      </w:r>
      <w:r w:rsidR="005506B3" w:rsidRPr="00B1354A">
        <w:t xml:space="preserve">ower </w:t>
      </w:r>
      <w:r>
        <w:t>C</w:t>
      </w:r>
      <w:r w:rsidR="005506B3" w:rsidRPr="00B1354A">
        <w:t>ontrol</w:t>
      </w:r>
      <w:r w:rsidRPr="00A86D71">
        <w:t>,</w:t>
      </w:r>
      <w:r w:rsidR="00D159E8">
        <w:t xml:space="preserve"> </w:t>
      </w:r>
      <w:r>
        <w:t>T</w:t>
      </w:r>
      <w:r w:rsidR="005506B3" w:rsidRPr="00B1354A">
        <w:t xml:space="preserve">ransmit </w:t>
      </w:r>
      <w:r>
        <w:t>R</w:t>
      </w:r>
      <w:r w:rsidR="005506B3" w:rsidRPr="00B1354A">
        <w:t xml:space="preserve">ate </w:t>
      </w:r>
      <w:r>
        <w:t>C</w:t>
      </w:r>
      <w:r w:rsidR="005506B3" w:rsidRPr="00B1354A">
        <w:t>ontrol</w:t>
      </w:r>
      <w:r w:rsidR="005506B3">
        <w:t xml:space="preserve">, </w:t>
      </w:r>
      <w:r>
        <w:t>and T</w:t>
      </w:r>
      <w:r w:rsidRPr="00A86D71">
        <w:t>ransmit</w:t>
      </w:r>
      <w:r w:rsidR="005506B3" w:rsidRPr="00B1354A">
        <w:t xml:space="preserve"> </w:t>
      </w:r>
      <w:r>
        <w:t>D</w:t>
      </w:r>
      <w:r w:rsidR="005506B3" w:rsidRPr="00B1354A">
        <w:t>ata</w:t>
      </w:r>
      <w:r>
        <w:t>-R</w:t>
      </w:r>
      <w:r w:rsidR="005506B3" w:rsidRPr="00B1354A">
        <w:t xml:space="preserve">ate </w:t>
      </w:r>
      <w:r>
        <w:t>C</w:t>
      </w:r>
      <w:r w:rsidR="005506B3" w:rsidRPr="00B1354A">
        <w:t>ontrol</w:t>
      </w:r>
      <w:r w:rsidR="005506B3">
        <w:t>.</w:t>
      </w:r>
      <w:r w:rsidR="004C1CB8">
        <w:t xml:space="preserve"> For more details see the references </w:t>
      </w:r>
      <w:r w:rsidR="005506B3">
        <w:t xml:space="preserve"> </w:t>
      </w:r>
      <w:r w:rsidR="00895865">
        <w:fldChar w:fldCharType="begin"/>
      </w:r>
      <w:r w:rsidR="00895865">
        <w:instrText xml:space="preserve"> REF IsPacketDroppingaSuitableCongestion \h </w:instrText>
      </w:r>
      <w:r w:rsidR="00895865">
        <w:fldChar w:fldCharType="separate"/>
      </w:r>
      <w:r w:rsidR="00895865">
        <w:t>[i.22]</w:t>
      </w:r>
      <w:r w:rsidR="00895865">
        <w:fldChar w:fldCharType="end"/>
      </w:r>
      <w:r w:rsidR="00895865">
        <w:t xml:space="preserve">, </w:t>
      </w:r>
      <w:r w:rsidR="00C3291C">
        <w:fldChar w:fldCharType="begin"/>
      </w:r>
      <w:r w:rsidR="00C3291C">
        <w:instrText xml:space="preserve"> REF CC_MechanismsIEEE802_11p_Sidelink_C_V2X \h </w:instrText>
      </w:r>
      <w:r w:rsidR="00C3291C">
        <w:fldChar w:fldCharType="separate"/>
      </w:r>
      <w:r w:rsidR="00C3291C">
        <w:t>[i.25]</w:t>
      </w:r>
      <w:r w:rsidR="00C3291C">
        <w:fldChar w:fldCharType="end"/>
      </w:r>
      <w:r w:rsidR="00895865">
        <w:t>,</w:t>
      </w:r>
      <w:r w:rsidR="00C3291C">
        <w:t xml:space="preserve"> and </w:t>
      </w:r>
      <w:r w:rsidR="00C3291C">
        <w:fldChar w:fldCharType="begin"/>
      </w:r>
      <w:r w:rsidR="00C3291C">
        <w:instrText xml:space="preserve"> REF Benefits_DCC_FacilitiesITS_G5_Networks \h </w:instrText>
      </w:r>
      <w:r w:rsidR="00C3291C">
        <w:fldChar w:fldCharType="separate"/>
      </w:r>
      <w:r w:rsidR="00C3291C">
        <w:t>[i.26]</w:t>
      </w:r>
      <w:r w:rsidR="00C3291C">
        <w:fldChar w:fldCharType="end"/>
      </w:r>
      <w:r w:rsidR="00C3291C">
        <w:t>.</w:t>
      </w:r>
    </w:p>
    <w:p w14:paraId="63CD1425" w14:textId="36692545" w:rsidR="00D159E8" w:rsidRDefault="005506B3" w:rsidP="00207469">
      <w:r>
        <w:t>Variations of the power appear complex when looking at control at the facilities layer and also questionably effective</w:t>
      </w:r>
      <w:r w:rsidR="00612186">
        <w:t>:</w:t>
      </w:r>
      <w:r>
        <w:t xml:space="preserve"> power variations, indeed, affect communication range but do not alter the CBR measurement close to the transmitting car; this causes </w:t>
      </w:r>
      <w:r w:rsidR="00612186">
        <w:t xml:space="preserve">in turn </w:t>
      </w:r>
      <w:r>
        <w:t>variable power level and range in the spatial domain</w:t>
      </w:r>
      <w:r w:rsidR="00612186">
        <w:t>, which affects fairness and causes lower overall system performance</w:t>
      </w:r>
      <w:r>
        <w:t>.</w:t>
      </w:r>
      <w:r w:rsidR="00A96A23">
        <w:t xml:space="preserve"> </w:t>
      </w:r>
      <w:r w:rsidR="00CD4321">
        <w:t>Additionally, if all stations uniformly reduce the power consistently, the effect is only an average reduction of the ratio between the useful signal and the noise power levels, without an improvement of the ratio between the useful signal and the interference power levels</w:t>
      </w:r>
      <w:r w:rsidR="00895865">
        <w:t xml:space="preserve"> </w:t>
      </w:r>
      <w:r w:rsidR="00895865">
        <w:fldChar w:fldCharType="begin"/>
      </w:r>
      <w:r w:rsidR="00895865">
        <w:instrText xml:space="preserve"> REF CC_MechanismsIEEE802_11p_Sidelink_C_V2X \h </w:instrText>
      </w:r>
      <w:r w:rsidR="00895865">
        <w:fldChar w:fldCharType="separate"/>
      </w:r>
      <w:r w:rsidR="00895865">
        <w:t>[i.25]</w:t>
      </w:r>
      <w:r w:rsidR="00895865">
        <w:fldChar w:fldCharType="end"/>
      </w:r>
      <w:r w:rsidR="00CD4321">
        <w:t xml:space="preserve">. </w:t>
      </w:r>
      <w:r w:rsidR="00AF50B3">
        <w:t xml:space="preserve">Power control may still remain </w:t>
      </w:r>
      <w:r w:rsidR="00D65657">
        <w:t xml:space="preserve">an </w:t>
      </w:r>
      <w:r w:rsidR="00AF50B3">
        <w:t>option when dealing with unicast communications; in such case, in fact, the transmitter may control the power level in order to guarantee a sufficient reliability to the communication while minimizing the interference generated to the others.</w:t>
      </w:r>
    </w:p>
    <w:p w14:paraId="4D6FD135" w14:textId="67A95876" w:rsidR="004B2EDB" w:rsidRDefault="00AF50B3" w:rsidP="00207469">
      <w:r>
        <w:t xml:space="preserve">Data-rate control appears easier to control at the facilities layer and </w:t>
      </w:r>
      <w:r w:rsidR="004B2EDB">
        <w:t xml:space="preserve">possibly </w:t>
      </w:r>
      <w:r>
        <w:t xml:space="preserve">more effective to control the trade-off between reliability and channel occupation. </w:t>
      </w:r>
      <w:r w:rsidR="004B2EDB">
        <w:t xml:space="preserve">This means at the access layer to select a different MCS, which corresponds at the facilities layer to the selection of a different ALI. </w:t>
      </w:r>
      <w:r w:rsidR="00D65657">
        <w:t xml:space="preserve">However, </w:t>
      </w:r>
      <w:r w:rsidR="004B2EDB">
        <w:t>the choice of the MCS (or ALI) has also an impact on the range, since higher MCS implies lower protection to noise and interference. The use of data-rate control therefore requires careful considerations about the use cases that need to be supported.</w:t>
      </w:r>
    </w:p>
    <w:p w14:paraId="33697443" w14:textId="46CA051A" w:rsidR="00D65657" w:rsidRDefault="00AF153D" w:rsidP="00207469">
      <w:r>
        <w:t xml:space="preserve">Still discussing the data-rate control, it is also worth observing that </w:t>
      </w:r>
      <w:r w:rsidR="00D65657">
        <w:t xml:space="preserve">the impact </w:t>
      </w:r>
      <w:r>
        <w:t xml:space="preserve">may be </w:t>
      </w:r>
      <w:r w:rsidR="00D65657">
        <w:t xml:space="preserve">limited. </w:t>
      </w:r>
      <w:r>
        <w:t>This is further elaborated hereafter, by a</w:t>
      </w:r>
      <w:r w:rsidR="00D65657">
        <w:t>ssuming the eight MCSs of the basic version of ITS-G5</w:t>
      </w:r>
      <w:r>
        <w:t xml:space="preserve"> and calculating the duration of packet transmissions.</w:t>
      </w:r>
      <w:r w:rsidR="00D65657">
        <w:t xml:space="preserve"> </w:t>
      </w:r>
      <w:r>
        <w:t>Based on the specifications, w</w:t>
      </w:r>
      <w:r w:rsidR="00D65657">
        <w:t xml:space="preserve">e can approximate the duration </w:t>
      </w:r>
      <m:oMath>
        <m:sSub>
          <m:sSubPr>
            <m:ctrlPr>
              <w:rPr>
                <w:rFonts w:ascii="Cambria Math" w:hAnsi="Cambria Math"/>
                <w:i/>
              </w:rPr>
            </m:ctrlPr>
          </m:sSubPr>
          <m:e>
            <m:r>
              <w:rPr>
                <w:rFonts w:ascii="Cambria Math" w:hAnsi="Cambria Math"/>
              </w:rPr>
              <m:t>t</m:t>
            </m:r>
          </m:e>
          <m:sub>
            <m:r>
              <w:rPr>
                <w:rFonts w:ascii="Cambria Math" w:hAnsi="Cambria Math"/>
              </w:rPr>
              <m:t>pck</m:t>
            </m:r>
          </m:sub>
        </m:sSub>
        <m:r>
          <w:rPr>
            <w:rFonts w:ascii="Cambria Math" w:hAnsi="Cambria Math"/>
          </w:rPr>
          <m:t xml:space="preserve"> </m:t>
        </m:r>
      </m:oMath>
      <w:r w:rsidR="00D65657">
        <w:t xml:space="preserve">of a packet transmission </w:t>
      </w:r>
      <w:r w:rsidR="00F22E33">
        <w:t xml:space="preserve">with payload of </w:t>
      </w:r>
      <m:oMath>
        <m:sSub>
          <m:sSubPr>
            <m:ctrlPr>
              <w:rPr>
                <w:rFonts w:ascii="Cambria Math" w:hAnsi="Cambria Math"/>
                <w:i/>
              </w:rPr>
            </m:ctrlPr>
          </m:sSubPr>
          <m:e>
            <m:r>
              <w:rPr>
                <w:rFonts w:ascii="Cambria Math" w:hAnsi="Cambria Math"/>
              </w:rPr>
              <m:t>N</m:t>
            </m:r>
          </m:e>
          <m:sub>
            <m:r>
              <w:rPr>
                <w:rFonts w:ascii="Cambria Math" w:hAnsi="Cambria Math"/>
              </w:rPr>
              <m:t>byte</m:t>
            </m:r>
          </m:sub>
        </m:sSub>
        <m:r>
          <w:rPr>
            <w:rFonts w:ascii="Cambria Math" w:hAnsi="Cambria Math"/>
          </w:rPr>
          <m:t xml:space="preserve"> </m:t>
        </m:r>
      </m:oMath>
      <w:r w:rsidR="00F22E33">
        <w:t xml:space="preserve">bytes </w:t>
      </w:r>
      <w:r w:rsidR="00D65657">
        <w:t>as</w:t>
      </w:r>
    </w:p>
    <w:p w14:paraId="38D0E472" w14:textId="1C88B849" w:rsidR="00D65657" w:rsidRPr="00C6215B" w:rsidRDefault="00D65657" w:rsidP="00D65657">
      <w:pPr>
        <w:tabs>
          <w:tab w:val="left" w:pos="3828"/>
          <w:tab w:val="left" w:pos="9072"/>
        </w:tabs>
        <w:overflowPunct/>
        <w:spacing w:after="120"/>
        <w:textAlignment w:val="auto"/>
      </w:pPr>
      <w:r>
        <w:t xml:space="preserve"> </w:t>
      </w:r>
      <w:r>
        <w:tab/>
      </w:r>
      <m:oMath>
        <m:sSub>
          <m:sSubPr>
            <m:ctrlPr>
              <w:rPr>
                <w:rFonts w:ascii="Cambria Math" w:hAnsi="Cambria Math"/>
                <w:i/>
              </w:rPr>
            </m:ctrlPr>
          </m:sSubPr>
          <m:e>
            <m:r>
              <w:rPr>
                <w:rFonts w:ascii="Cambria Math" w:hAnsi="Cambria Math"/>
              </w:rPr>
              <m:t>t</m:t>
            </m:r>
          </m:e>
          <m:sub>
            <m:r>
              <w:rPr>
                <w:rFonts w:ascii="Cambria Math" w:hAnsi="Cambria Math"/>
              </w:rPr>
              <m:t>pck</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8∙N</m:t>
                    </m:r>
                  </m:e>
                  <m:sub>
                    <m:r>
                      <w:rPr>
                        <w:rFonts w:ascii="Cambria Math" w:hAnsi="Cambria Math"/>
                      </w:rPr>
                      <m:t>byte</m:t>
                    </m:r>
                  </m:sub>
                </m:sSub>
              </m:e>
            </m:d>
          </m:num>
          <m:den>
            <m:sSub>
              <m:sSubPr>
                <m:ctrlPr>
                  <w:rPr>
                    <w:rFonts w:ascii="Cambria Math" w:hAnsi="Cambria Math"/>
                    <w:i/>
                  </w:rPr>
                </m:ctrlPr>
              </m:sSubPr>
              <m:e>
                <m:r>
                  <w:rPr>
                    <w:rFonts w:ascii="Cambria Math" w:hAnsi="Cambria Math"/>
                  </w:rPr>
                  <m:t>n</m:t>
                </m:r>
              </m:e>
              <m:sub>
                <m:r>
                  <w:rPr>
                    <w:rFonts w:ascii="Cambria Math" w:hAnsi="Cambria Math"/>
                  </w:rPr>
                  <m:t>bps</m:t>
                </m:r>
              </m:sub>
            </m:sSub>
          </m:den>
        </m:f>
        <m:sSub>
          <m:sSubPr>
            <m:ctrlPr>
              <w:rPr>
                <w:rFonts w:ascii="Cambria Math" w:hAnsi="Cambria Math"/>
                <w:i/>
              </w:rPr>
            </m:ctrlPr>
          </m:sSubPr>
          <m:e>
            <m:r>
              <w:rPr>
                <w:rFonts w:ascii="Cambria Math" w:hAnsi="Cambria Math"/>
              </w:rPr>
              <m:t>T</m:t>
            </m:r>
          </m:e>
          <m:sub>
            <m:r>
              <w:rPr>
                <w:rFonts w:ascii="Cambria Math" w:hAnsi="Cambria Math"/>
              </w:rPr>
              <m:t>OFDM</m:t>
            </m:r>
          </m:sub>
        </m:sSub>
      </m:oMath>
      <w:r>
        <w:t xml:space="preserve"> </w:t>
      </w:r>
      <w:r>
        <w:tab/>
        <w:t>(</w:t>
      </w:r>
      <w:r>
        <w:fldChar w:fldCharType="begin"/>
      </w:r>
      <w:r>
        <w:instrText xml:space="preserve"> </w:instrText>
      </w:r>
      <w:r w:rsidRPr="00C47B74">
        <w:instrText xml:space="preserve">SEQ Eq \* ARABIC </w:instrText>
      </w:r>
      <w:r>
        <w:instrText xml:space="preserve"> </w:instrText>
      </w:r>
      <w:r>
        <w:fldChar w:fldCharType="separate"/>
      </w:r>
      <w:r>
        <w:rPr>
          <w:noProof/>
        </w:rPr>
        <w:t>4</w:t>
      </w:r>
      <w:r>
        <w:fldChar w:fldCharType="end"/>
      </w:r>
      <w:r>
        <w:t>)</w:t>
      </w:r>
    </w:p>
    <w:p w14:paraId="10D5C9CA" w14:textId="6E8AA361" w:rsidR="004B2EDB" w:rsidRDefault="009F153C" w:rsidP="00207469">
      <w:r>
        <w:t xml:space="preserve">where </w:t>
      </w:r>
      <m:oMath>
        <m:sSub>
          <m:sSubPr>
            <m:ctrlPr>
              <w:rPr>
                <w:rFonts w:ascii="Cambria Math" w:hAnsi="Cambria Math"/>
                <w:i/>
              </w:rPr>
            </m:ctrlPr>
          </m:sSubPr>
          <m:e>
            <m:r>
              <w:rPr>
                <w:rFonts w:ascii="Cambria Math" w:hAnsi="Cambria Math"/>
              </w:rPr>
              <m:t>t</m:t>
            </m:r>
          </m:e>
          <m:sub>
            <m:r>
              <w:rPr>
                <w:rFonts w:ascii="Cambria Math" w:hAnsi="Cambria Math"/>
              </w:rPr>
              <m:t>h</m:t>
            </m:r>
          </m:sub>
        </m:sSub>
        <m:r>
          <w:rPr>
            <w:rFonts w:ascii="Cambria Math" w:hAnsi="Cambria Math"/>
          </w:rPr>
          <m:t>=40</m:t>
        </m:r>
      </m:oMath>
      <w:r w:rsidR="00F22E33">
        <w:t>μs</w:t>
      </w:r>
      <w:r>
        <w:t xml:space="preserve"> is the duration of the </w:t>
      </w:r>
      <w:r w:rsidR="00F22E33" w:rsidRPr="00F22E33">
        <w:t xml:space="preserve">Physical </w:t>
      </w:r>
      <w:r w:rsidR="00F22E33">
        <w:t>L</w:t>
      </w:r>
      <w:r w:rsidR="00F22E33" w:rsidRPr="00F22E33">
        <w:t xml:space="preserve">ayer </w:t>
      </w:r>
      <w:r w:rsidR="00F22E33">
        <w:t>C</w:t>
      </w:r>
      <w:r w:rsidR="00F22E33" w:rsidRPr="00F22E33">
        <w:t xml:space="preserve">onvergence </w:t>
      </w:r>
      <w:r w:rsidR="00F22E33">
        <w:t>P</w:t>
      </w:r>
      <w:r w:rsidR="00F22E33" w:rsidRPr="00F22E33">
        <w:t>rotocol</w:t>
      </w:r>
      <w:r w:rsidR="00F22E33">
        <w:t xml:space="preserve"> (PLCP) </w:t>
      </w:r>
      <w:r>
        <w:t xml:space="preserve">preamble and </w:t>
      </w:r>
      <w:r w:rsidR="00F22E33">
        <w:t xml:space="preserve">header, </w:t>
      </w:r>
      <m:oMath>
        <m:sSub>
          <m:sSubPr>
            <m:ctrlPr>
              <w:rPr>
                <w:rFonts w:ascii="Cambria Math" w:hAnsi="Cambria Math"/>
                <w:i/>
              </w:rPr>
            </m:ctrlPr>
          </m:sSubPr>
          <m:e>
            <m:r>
              <w:rPr>
                <w:rFonts w:ascii="Cambria Math" w:hAnsi="Cambria Math"/>
              </w:rPr>
              <m:t>n</m:t>
            </m:r>
          </m:e>
          <m:sub>
            <m:r>
              <w:rPr>
                <w:rFonts w:ascii="Cambria Math" w:hAnsi="Cambria Math"/>
              </w:rPr>
              <m:t>bps</m:t>
            </m:r>
          </m:sub>
        </m:sSub>
      </m:oMath>
      <w:r w:rsidR="00F22E33">
        <w:t xml:space="preserve"> is the number of useful bits carried by an Orthogonal Frequency Division Multiplexing (OFDM) symbol, and </w:t>
      </w:r>
      <m:oMath>
        <m:sSub>
          <m:sSubPr>
            <m:ctrlPr>
              <w:rPr>
                <w:rFonts w:ascii="Cambria Math" w:hAnsi="Cambria Math"/>
                <w:i/>
              </w:rPr>
            </m:ctrlPr>
          </m:sSubPr>
          <m:e>
            <m:r>
              <w:rPr>
                <w:rFonts w:ascii="Cambria Math" w:hAnsi="Cambria Math"/>
              </w:rPr>
              <m:t>T</m:t>
            </m:r>
          </m:e>
          <m:sub>
            <m:r>
              <w:rPr>
                <w:rFonts w:ascii="Cambria Math" w:hAnsi="Cambria Math"/>
              </w:rPr>
              <m:t>OFDM</m:t>
            </m:r>
          </m:sub>
        </m:sSub>
        <m:r>
          <w:rPr>
            <w:rFonts w:ascii="Cambria Math" w:hAnsi="Cambria Math"/>
          </w:rPr>
          <m:t>=8</m:t>
        </m:r>
        <m:r>
          <m:rPr>
            <m:sty m:val="p"/>
          </m:rPr>
          <w:rPr>
            <w:rFonts w:ascii="Cambria Math" w:hAnsi="Cambria Math"/>
          </w:rPr>
          <m:t>μs</m:t>
        </m:r>
      </m:oMath>
      <w:r w:rsidR="00F22E33">
        <w:t xml:space="preserve"> is the duration of an OFDM symbol. The value of </w:t>
      </w:r>
      <m:oMath>
        <m:sSub>
          <m:sSubPr>
            <m:ctrlPr>
              <w:rPr>
                <w:rFonts w:ascii="Cambria Math" w:hAnsi="Cambria Math"/>
                <w:i/>
              </w:rPr>
            </m:ctrlPr>
          </m:sSubPr>
          <m:e>
            <m:r>
              <w:rPr>
                <w:rFonts w:ascii="Cambria Math" w:hAnsi="Cambria Math"/>
              </w:rPr>
              <m:t>n</m:t>
            </m:r>
          </m:e>
          <m:sub>
            <m:r>
              <w:rPr>
                <w:rFonts w:ascii="Cambria Math" w:hAnsi="Cambria Math"/>
              </w:rPr>
              <m:t>bps</m:t>
            </m:r>
          </m:sub>
        </m:sSub>
      </m:oMath>
      <w:r w:rsidR="00F22E33">
        <w:t xml:space="preserve"> depends on the specific MCS and ranges between a minimum of 24 and a maximum of 216, with 52 used as default (normally known as MCS 2 and corresponding to 4-QAM, coding rate 1/2). </w:t>
      </w:r>
      <w:r w:rsidR="004B2EDB">
        <w:t xml:space="preserve">The duration deriving from this equation is shown in </w:t>
      </w:r>
      <w:r w:rsidR="004B2EDB">
        <w:fldChar w:fldCharType="begin"/>
      </w:r>
      <w:r w:rsidR="004B2EDB">
        <w:instrText xml:space="preserve"> REF _Ref187835738 \h </w:instrText>
      </w:r>
      <w:r w:rsidR="004B2EDB">
        <w:fldChar w:fldCharType="separate"/>
      </w:r>
      <w:r w:rsidR="00CF128B" w:rsidRPr="00191F27">
        <w:t xml:space="preserve">Figure </w:t>
      </w:r>
      <w:r w:rsidR="00CF128B">
        <w:rPr>
          <w:noProof/>
        </w:rPr>
        <w:t>9</w:t>
      </w:r>
      <w:r w:rsidR="004B2EDB">
        <w:fldChar w:fldCharType="end"/>
      </w:r>
      <w:r w:rsidR="004B2EDB">
        <w:t xml:space="preserve"> for packets of 350 or 1000 bytes. As observable, compared to the use of MCS 2 (which is the default value in ITS-G5), a data-rate control can at most reduce the channel occupation by a factor close to 4; this however requires moving to the less reliable MCS, which strongly impacts on the range. Small variations of the MCS have limited impact on the channel occupation.</w:t>
      </w:r>
    </w:p>
    <w:p w14:paraId="4BCF2AD8" w14:textId="539F4B77" w:rsidR="00F22E33" w:rsidRDefault="00F22E33" w:rsidP="00207469">
      <w:pPr>
        <w:jc w:val="center"/>
      </w:pPr>
      <w:r w:rsidRPr="00F22E33">
        <w:rPr>
          <w:noProof/>
          <w:lang w:val="it-IT" w:eastAsia="it-IT"/>
        </w:rPr>
        <w:drawing>
          <wp:inline distT="0" distB="0" distL="0" distR="0" wp14:anchorId="61A6D9AA" wp14:editId="14A2BE59">
            <wp:extent cx="2160000" cy="1619936"/>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60000" cy="1619936"/>
                    </a:xfrm>
                    <a:prstGeom prst="rect">
                      <a:avLst/>
                    </a:prstGeom>
                    <a:noFill/>
                    <a:ln>
                      <a:noFill/>
                    </a:ln>
                  </pic:spPr>
                </pic:pic>
              </a:graphicData>
            </a:graphic>
          </wp:inline>
        </w:drawing>
      </w:r>
      <w:r w:rsidRPr="00F22E33">
        <w:rPr>
          <w:noProof/>
          <w:lang w:val="it-IT" w:eastAsia="it-IT"/>
        </w:rPr>
        <w:drawing>
          <wp:inline distT="0" distB="0" distL="0" distR="0" wp14:anchorId="2711F981" wp14:editId="0E1AE03C">
            <wp:extent cx="2160000" cy="1619936"/>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0000" cy="1619936"/>
                    </a:xfrm>
                    <a:prstGeom prst="rect">
                      <a:avLst/>
                    </a:prstGeom>
                    <a:noFill/>
                    <a:ln>
                      <a:noFill/>
                    </a:ln>
                  </pic:spPr>
                </pic:pic>
              </a:graphicData>
            </a:graphic>
          </wp:inline>
        </w:drawing>
      </w:r>
    </w:p>
    <w:p w14:paraId="7E7B641E" w14:textId="4EBF9068" w:rsidR="00F22E33" w:rsidRDefault="00F22E33" w:rsidP="004B2EDB">
      <w:pPr>
        <w:tabs>
          <w:tab w:val="left" w:pos="1843"/>
          <w:tab w:val="left" w:pos="4678"/>
          <w:tab w:val="left" w:pos="6237"/>
        </w:tabs>
      </w:pPr>
      <w:r>
        <w:tab/>
        <w:t xml:space="preserve">(a) </w:t>
      </w:r>
      <w:r w:rsidR="004B2EDB">
        <w:t>Duration of a transmission</w:t>
      </w:r>
      <w:r>
        <w:tab/>
        <w:t xml:space="preserve">(b) </w:t>
      </w:r>
      <w:r w:rsidR="004B2EDB">
        <w:t>Channel occupation compared to MCS 2</w:t>
      </w:r>
    </w:p>
    <w:p w14:paraId="5EBCD3D9" w14:textId="1EC1C087" w:rsidR="00F22E33" w:rsidRPr="0027479C" w:rsidRDefault="00F22E33" w:rsidP="00F22E33">
      <w:pPr>
        <w:pStyle w:val="Caption"/>
        <w:jc w:val="center"/>
      </w:pPr>
      <w:bookmarkStart w:id="199" w:name="_Ref187835738"/>
      <w:r w:rsidRPr="00191F27">
        <w:t xml:space="preserve">Figure </w:t>
      </w:r>
      <w:r w:rsidR="00115785">
        <w:fldChar w:fldCharType="begin"/>
      </w:r>
      <w:r w:rsidR="00115785">
        <w:instrText xml:space="preserve"> SEQ Figure \* ARABIC </w:instrText>
      </w:r>
      <w:r w:rsidR="00115785">
        <w:fldChar w:fldCharType="separate"/>
      </w:r>
      <w:r w:rsidR="00115785">
        <w:rPr>
          <w:noProof/>
        </w:rPr>
        <w:t>9</w:t>
      </w:r>
      <w:r w:rsidR="00115785">
        <w:rPr>
          <w:noProof/>
        </w:rPr>
        <w:fldChar w:fldCharType="end"/>
      </w:r>
      <w:bookmarkEnd w:id="199"/>
      <w:r w:rsidRPr="00191F27">
        <w:t>:</w:t>
      </w:r>
      <w:r>
        <w:t xml:space="preserve"> </w:t>
      </w:r>
      <w:r w:rsidR="004B2EDB">
        <w:t xml:space="preserve">Impact on channel occupation </w:t>
      </w:r>
      <w:r w:rsidR="00802E55">
        <w:t>of data-rate control</w:t>
      </w:r>
      <w:r w:rsidR="00AF153D">
        <w:t xml:space="preserve"> in ITS-G5</w:t>
      </w:r>
      <w:r>
        <w:t>.</w:t>
      </w:r>
    </w:p>
    <w:p w14:paraId="67AB04F2" w14:textId="63CB5A47" w:rsidR="005506B3" w:rsidRDefault="00AF153D" w:rsidP="00207469">
      <w:r>
        <w:t xml:space="preserve">The last option here discussed in the </w:t>
      </w:r>
      <w:r w:rsidR="00802E55">
        <w:t xml:space="preserve">transmit </w:t>
      </w:r>
      <w:r w:rsidR="00A96A23">
        <w:t>rate control</w:t>
      </w:r>
      <w:r>
        <w:t xml:space="preserve">, which means controlling the average number of packets sent and can be implemented in two main ways. One way is discarding a portion of the packets before they are </w:t>
      </w:r>
      <w:r w:rsidR="009F159D">
        <w:t>transmitted,</w:t>
      </w:r>
      <w:r>
        <w:t xml:space="preserve"> and the other way is to control the generation rate. Looking at the former option, it can in turn be implemented at the facilities or at the access layer. If it is performed at the access layer, there is no possibility to differentiate among packets based on their content and the withdrawal is unavoidably performed in a random way. Among the various options, the control of the generation rate appears clearly preferable and the interaction between the facilities layer and the running applications and services can further help to optimally identify the information to be sent.</w:t>
      </w:r>
      <w:r w:rsidR="00B73456">
        <w:t xml:space="preserve"> When referring to Release 1, a withdrawal at the access layer appears as the only viable solution.</w:t>
      </w:r>
    </w:p>
    <w:p w14:paraId="1E075EA2" w14:textId="4696A8CE" w:rsidR="00B73456" w:rsidRPr="00B1354A" w:rsidRDefault="00B73456" w:rsidP="00207469">
      <w:r>
        <w:t xml:space="preserve">Overall, the transmit rate control is the one that can impact more significantly on the channel occupation without affecting communication range. Its main drawback is a reduction of the information update, which is however balanced by a reduction of the packet error rate if the congestion control algorithm works properly. </w:t>
      </w:r>
    </w:p>
    <w:p w14:paraId="664C676D" w14:textId="6534FD35" w:rsidR="005506B3" w:rsidRDefault="00207469" w:rsidP="00026415">
      <w:pPr>
        <w:overflowPunct/>
        <w:spacing w:after="0"/>
        <w:ind w:left="1701" w:hanging="1133"/>
        <w:textAlignment w:val="auto"/>
        <w:rPr>
          <w:rFonts w:eastAsiaTheme="minorEastAsia"/>
        </w:rPr>
      </w:pPr>
      <w:r>
        <w:rPr>
          <w:rFonts w:eastAsiaTheme="minorEastAsia"/>
          <w:b/>
          <w:bCs/>
        </w:rPr>
        <w:t>Note</w:t>
      </w:r>
      <w:r w:rsidR="009A0851" w:rsidRPr="000D68D2">
        <w:rPr>
          <w:rFonts w:eastAsiaTheme="minorEastAsia"/>
          <w:b/>
          <w:bCs/>
        </w:rPr>
        <w:t>:</w:t>
      </w:r>
      <w:r w:rsidR="009A0851" w:rsidRPr="000D68D2">
        <w:rPr>
          <w:rFonts w:eastAsiaTheme="minorEastAsia"/>
          <w:b/>
          <w:bCs/>
        </w:rPr>
        <w:tab/>
      </w:r>
      <w:r w:rsidR="00D65657">
        <w:rPr>
          <w:rFonts w:eastAsiaTheme="minorEastAsia"/>
        </w:rPr>
        <w:t>It is observed that transmit rate control is the most effective approach to control congestion</w:t>
      </w:r>
      <w:r w:rsidR="00AF153D">
        <w:rPr>
          <w:rFonts w:eastAsiaTheme="minorEastAsia"/>
        </w:rPr>
        <w:t xml:space="preserve">; it is also </w:t>
      </w:r>
      <w:r>
        <w:rPr>
          <w:rFonts w:eastAsiaTheme="minorEastAsia"/>
        </w:rPr>
        <w:t>note</w:t>
      </w:r>
      <w:r w:rsidR="00AF153D">
        <w:rPr>
          <w:rFonts w:eastAsiaTheme="minorEastAsia"/>
        </w:rPr>
        <w:t>d that it would be better implemented with a control made by the application rather than by discarding part of the packets</w:t>
      </w:r>
      <w:r w:rsidR="00D65657">
        <w:rPr>
          <w:rFonts w:eastAsiaTheme="minorEastAsia"/>
        </w:rPr>
        <w:t>. Transmit rate control can also help in some cases</w:t>
      </w:r>
      <w:r w:rsidR="00802E55">
        <w:rPr>
          <w:rFonts w:eastAsiaTheme="minorEastAsia"/>
        </w:rPr>
        <w:t>,</w:t>
      </w:r>
      <w:r w:rsidR="00D65657">
        <w:rPr>
          <w:rFonts w:eastAsiaTheme="minorEastAsia"/>
        </w:rPr>
        <w:t xml:space="preserve"> if the</w:t>
      </w:r>
      <w:r w:rsidR="00B73456">
        <w:rPr>
          <w:rFonts w:eastAsiaTheme="minorEastAsia"/>
        </w:rPr>
        <w:t xml:space="preserve"> communication</w:t>
      </w:r>
      <w:r w:rsidR="00D65657">
        <w:rPr>
          <w:rFonts w:eastAsiaTheme="minorEastAsia"/>
        </w:rPr>
        <w:t xml:space="preserve"> range can be traded-off. Transmit power control seems helpful only in specific cases</w:t>
      </w:r>
      <w:r w:rsidR="00B73456">
        <w:rPr>
          <w:rFonts w:eastAsiaTheme="minorEastAsia"/>
        </w:rPr>
        <w:t>,</w:t>
      </w:r>
      <w:r w:rsidR="00D65657">
        <w:rPr>
          <w:rFonts w:eastAsiaTheme="minorEastAsia"/>
        </w:rPr>
        <w:t xml:space="preserve"> such as for unicast transmissions.</w:t>
      </w:r>
    </w:p>
    <w:p w14:paraId="47A1814A" w14:textId="299F900C" w:rsidR="009D02A1" w:rsidRDefault="006014C4" w:rsidP="00F140CF">
      <w:pPr>
        <w:pStyle w:val="Heading2"/>
        <w:numPr>
          <w:ilvl w:val="1"/>
          <w:numId w:val="11"/>
        </w:numPr>
        <w:ind w:left="1134"/>
      </w:pPr>
      <w:bookmarkStart w:id="200" w:name="_Ref194331019"/>
      <w:bookmarkStart w:id="201" w:name="_Toc197337023"/>
      <w:r>
        <w:t>Interference from adjacent channels</w:t>
      </w:r>
      <w:bookmarkEnd w:id="200"/>
      <w:bookmarkEnd w:id="201"/>
    </w:p>
    <w:p w14:paraId="6B4119E0" w14:textId="77777777" w:rsidR="009D02A1" w:rsidRPr="005504ED" w:rsidRDefault="009D02A1" w:rsidP="00F140CF">
      <w:pPr>
        <w:pStyle w:val="Heading3"/>
        <w:numPr>
          <w:ilvl w:val="2"/>
          <w:numId w:val="11"/>
        </w:numPr>
        <w:ind w:left="1134"/>
      </w:pPr>
      <w:bookmarkStart w:id="202" w:name="_Toc197337024"/>
      <w:r>
        <w:t>Introduction</w:t>
      </w:r>
      <w:bookmarkEnd w:id="202"/>
    </w:p>
    <w:p w14:paraId="0EA1BBA0" w14:textId="77777777" w:rsidR="00844B6A" w:rsidRDefault="00844B6A" w:rsidP="00844B6A">
      <w:r>
        <w:t>The congestion status of a given channel is not only dependent on the actual usage of the channel itself but also on the usage of the spectrum that is adjacent to it. This spectrum might be occupied by interoperable ITS services using the same protocol or by systems which are not interoperable or compatible. Interference management operations are basically different for the two cases. In the first case, it can be handled by internal RM control operations and functions that are part of the RM specifications. These operations can be called cross-channel RM functions, which include the cross-channel CBR evaluation and the cross-channel load control.</w:t>
      </w:r>
    </w:p>
    <w:p w14:paraId="6DA79D1F" w14:textId="77777777" w:rsidR="00844B6A" w:rsidRDefault="00844B6A" w:rsidP="00844B6A">
      <w:r>
        <w:t xml:space="preserve">In the non-interoperable case, the cross-channel RM control is not possible due to the lack of interoperability. These effects can only be considered as general interference from adjacent channels similar to co-channel interference from non-interoperable sources. </w:t>
      </w:r>
    </w:p>
    <w:p w14:paraId="1D7269B4" w14:textId="136B85C4" w:rsidR="00844B6A" w:rsidRDefault="00844B6A" w:rsidP="00844B6A">
      <w:r>
        <w:t>All non-interoperable interference effects are included in the RM monitoring/evaluation process based on the CBR measurement at the access layer and thus contribute to the channel load in general. It must be noted that these non-interoperable interference effects can lead to a significant increase of the channel load and to a reduced transmission probability/capability of the ITS systems due to the clear channel assessment performed by CSMA/CA before transmitting. In the RM and the MAC procedure a differentiation between the two different kinds of channel loading effect would be beneficial and could contribute to the proper operation of the broadcast base ITS system.</w:t>
      </w:r>
    </w:p>
    <w:p w14:paraId="6B991745" w14:textId="6C766475" w:rsidR="009D1969" w:rsidRDefault="009D1969" w:rsidP="00F140CF">
      <w:pPr>
        <w:pStyle w:val="Heading3"/>
        <w:numPr>
          <w:ilvl w:val="2"/>
          <w:numId w:val="11"/>
        </w:numPr>
        <w:ind w:left="1134"/>
      </w:pPr>
      <w:bookmarkStart w:id="203" w:name="_Toc197337025"/>
      <w:r>
        <w:t xml:space="preserve">Impact of interference from </w:t>
      </w:r>
      <w:r w:rsidR="00612300">
        <w:t xml:space="preserve">interoperable C-ITS in </w:t>
      </w:r>
      <w:r>
        <w:t>adjacent channels</w:t>
      </w:r>
      <w:bookmarkEnd w:id="203"/>
    </w:p>
    <w:p w14:paraId="55FF95F1" w14:textId="006415C9" w:rsidR="00D22A1B" w:rsidRDefault="00612300" w:rsidP="009D02A1">
      <w:r>
        <w:t xml:space="preserve">The impact of interference caused by stations using the same protocols in adjacent channels </w:t>
      </w:r>
      <w:r w:rsidR="007D0945">
        <w:t xml:space="preserve">is </w:t>
      </w:r>
      <w:r>
        <w:t xml:space="preserve">extensively studied in </w:t>
      </w:r>
      <w:r w:rsidR="00D22A1B">
        <w:t xml:space="preserve">report ETSI TR 103 439 </w:t>
      </w:r>
      <w:r w:rsidR="00D22A1B">
        <w:fldChar w:fldCharType="begin"/>
      </w:r>
      <w:r w:rsidR="00D22A1B">
        <w:instrText xml:space="preserve"> REF ETSI_TR103439 \h </w:instrText>
      </w:r>
      <w:r w:rsidR="00D22A1B">
        <w:fldChar w:fldCharType="separate"/>
      </w:r>
      <w:r w:rsidR="00D22A1B" w:rsidRPr="00913ABF">
        <w:t>[i.</w:t>
      </w:r>
      <w:r w:rsidR="00D22A1B">
        <w:t>1</w:t>
      </w:r>
      <w:r w:rsidR="00D22A1B" w:rsidRPr="00913ABF">
        <w:t>]</w:t>
      </w:r>
      <w:r w:rsidR="00D22A1B">
        <w:fldChar w:fldCharType="end"/>
      </w:r>
      <w:r w:rsidR="00D22A1B">
        <w:t>.</w:t>
      </w:r>
    </w:p>
    <w:p w14:paraId="153A1930" w14:textId="04862244" w:rsidR="007429B4" w:rsidRPr="000D68D2" w:rsidRDefault="007429B4" w:rsidP="007429B4">
      <w:pPr>
        <w:rPr>
          <w:rFonts w:eastAsiaTheme="minorEastAsia"/>
        </w:rPr>
      </w:pPr>
      <w:r w:rsidRPr="000D68D2">
        <w:rPr>
          <w:rFonts w:eastAsiaTheme="minorEastAsia"/>
        </w:rPr>
        <w:t xml:space="preserve">In </w:t>
      </w:r>
      <w:r w:rsidR="00115785">
        <w:rPr>
          <w:rFonts w:eastAsiaTheme="minorEastAsia"/>
        </w:rPr>
        <w:fldChar w:fldCharType="begin"/>
      </w:r>
      <w:r w:rsidR="00115785">
        <w:rPr>
          <w:rFonts w:eastAsiaTheme="minorEastAsia"/>
        </w:rPr>
        <w:instrText xml:space="preserve"> REF _Ref196816329 \h </w:instrText>
      </w:r>
      <w:r w:rsidR="00115785">
        <w:rPr>
          <w:rFonts w:eastAsiaTheme="minorEastAsia"/>
        </w:rPr>
      </w:r>
      <w:r w:rsidR="00115785">
        <w:rPr>
          <w:rFonts w:eastAsiaTheme="minorEastAsia"/>
        </w:rPr>
        <w:fldChar w:fldCharType="separate"/>
      </w:r>
      <w:r w:rsidR="00CF128B">
        <w:t xml:space="preserve">Figure </w:t>
      </w:r>
      <w:r w:rsidR="00CF128B">
        <w:rPr>
          <w:noProof/>
        </w:rPr>
        <w:t>10</w:t>
      </w:r>
      <w:r w:rsidR="00115785">
        <w:rPr>
          <w:rFonts w:eastAsiaTheme="minorEastAsia"/>
        </w:rPr>
        <w:fldChar w:fldCharType="end"/>
      </w:r>
      <w:r w:rsidR="00115785">
        <w:rPr>
          <w:rFonts w:eastAsiaTheme="minorEastAsia"/>
        </w:rPr>
        <w:t xml:space="preserve"> </w:t>
      </w:r>
      <w:r w:rsidRPr="000D68D2">
        <w:rPr>
          <w:rFonts w:eastAsiaTheme="minorEastAsia"/>
        </w:rPr>
        <w:t xml:space="preserve">the basics of the interfering effects in an </w:t>
      </w:r>
      <w:r w:rsidRPr="007664D3">
        <w:rPr>
          <w:rFonts w:eastAsiaTheme="minorEastAsia"/>
        </w:rPr>
        <w:t>MCO</w:t>
      </w:r>
      <w:r w:rsidRPr="000D68D2">
        <w:rPr>
          <w:rFonts w:eastAsiaTheme="minorEastAsia"/>
        </w:rPr>
        <w:t xml:space="preserve"> operation are depicted with the focus onto the direct adjacent channel</w:t>
      </w:r>
      <w:r w:rsidR="00115785">
        <w:rPr>
          <w:rFonts w:eastAsiaTheme="minorEastAsia"/>
        </w:rPr>
        <w:t xml:space="preserve"> as considered in ETSI TR 103 439</w:t>
      </w:r>
      <w:r w:rsidR="00115785">
        <w:fldChar w:fldCharType="begin"/>
      </w:r>
      <w:r w:rsidR="00115785">
        <w:instrText xml:space="preserve"> REF ETSI_TR103439 \h </w:instrText>
      </w:r>
      <w:r w:rsidR="00115785">
        <w:fldChar w:fldCharType="separate"/>
      </w:r>
      <w:r w:rsidR="00115785" w:rsidRPr="00913ABF">
        <w:t>[i.</w:t>
      </w:r>
      <w:r w:rsidR="00115785">
        <w:t>1</w:t>
      </w:r>
      <w:r w:rsidR="00115785" w:rsidRPr="00913ABF">
        <w:t>]</w:t>
      </w:r>
      <w:r w:rsidR="00115785">
        <w:fldChar w:fldCharType="end"/>
      </w:r>
      <w:r w:rsidRPr="000D68D2">
        <w:rPr>
          <w:rFonts w:eastAsiaTheme="minorEastAsia"/>
        </w:rPr>
        <w:t xml:space="preserve">. </w:t>
      </w:r>
    </w:p>
    <w:p w14:paraId="70E4F2A4" w14:textId="77777777" w:rsidR="007429B4" w:rsidRPr="000D68D2" w:rsidRDefault="007429B4" w:rsidP="007429B4">
      <w:pPr>
        <w:pStyle w:val="FL"/>
        <w:rPr>
          <w:rFonts w:eastAsiaTheme="minorEastAsia"/>
        </w:rPr>
      </w:pPr>
      <w:r>
        <w:rPr>
          <w:rFonts w:eastAsiaTheme="minorEastAsia"/>
          <w:noProof/>
          <w:lang w:val="it-IT" w:eastAsia="it-IT"/>
        </w:rPr>
        <w:drawing>
          <wp:inline distT="0" distB="0" distL="0" distR="0" wp14:anchorId="45066848" wp14:editId="21DB6960">
            <wp:extent cx="3492500" cy="2552700"/>
            <wp:effectExtent l="0" t="0" r="0" b="0"/>
            <wp:docPr id="376158584"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92500" cy="2552700"/>
                    </a:xfrm>
                    <a:prstGeom prst="rect">
                      <a:avLst/>
                    </a:prstGeom>
                    <a:noFill/>
                    <a:ln>
                      <a:noFill/>
                    </a:ln>
                  </pic:spPr>
                </pic:pic>
              </a:graphicData>
            </a:graphic>
          </wp:inline>
        </w:drawing>
      </w:r>
    </w:p>
    <w:p w14:paraId="00BDDC79" w14:textId="34896AAA" w:rsidR="007429B4" w:rsidRDefault="00115785" w:rsidP="00D63404">
      <w:pPr>
        <w:pStyle w:val="Caption"/>
        <w:jc w:val="center"/>
      </w:pPr>
      <w:bookmarkStart w:id="204" w:name="_Ref196816329"/>
      <w:bookmarkStart w:id="205" w:name="_Ref196816322"/>
      <w:r>
        <w:t xml:space="preserve">Figure </w:t>
      </w:r>
      <w:r>
        <w:fldChar w:fldCharType="begin"/>
      </w:r>
      <w:r>
        <w:instrText xml:space="preserve"> SEQ Figure \* ARABIC </w:instrText>
      </w:r>
      <w:r>
        <w:fldChar w:fldCharType="separate"/>
      </w:r>
      <w:r>
        <w:rPr>
          <w:noProof/>
        </w:rPr>
        <w:t>10</w:t>
      </w:r>
      <w:r>
        <w:rPr>
          <w:noProof/>
        </w:rPr>
        <w:fldChar w:fldCharType="end"/>
      </w:r>
      <w:bookmarkEnd w:id="204"/>
      <w:r w:rsidR="007429B4" w:rsidRPr="000D68D2">
        <w:t>: Impact of an interfering transmitter and a victim receiver on the reception</w:t>
      </w:r>
      <w:r w:rsidR="007429B4">
        <w:br/>
      </w:r>
      <w:r w:rsidR="007429B4" w:rsidRPr="000D68D2">
        <w:t>of wanted signals</w:t>
      </w:r>
      <w:bookmarkEnd w:id="205"/>
    </w:p>
    <w:p w14:paraId="6A2E2918" w14:textId="61D2813B" w:rsidR="009D1969" w:rsidRDefault="00D22A1B" w:rsidP="009D02A1">
      <w:r>
        <w:t xml:space="preserve">The study </w:t>
      </w:r>
      <w:r w:rsidR="00A2433F">
        <w:t xml:space="preserve">in </w:t>
      </w:r>
      <w:r w:rsidR="00A2433F">
        <w:rPr>
          <w:rFonts w:eastAsiaTheme="minorEastAsia"/>
        </w:rPr>
        <w:t>ETSI TR 103 439</w:t>
      </w:r>
      <w:r w:rsidR="00A2433F">
        <w:fldChar w:fldCharType="begin"/>
      </w:r>
      <w:r w:rsidR="00A2433F">
        <w:instrText xml:space="preserve"> REF ETSI_TR103439 \h </w:instrText>
      </w:r>
      <w:r w:rsidR="00A2433F">
        <w:fldChar w:fldCharType="separate"/>
      </w:r>
      <w:r w:rsidR="00A2433F" w:rsidRPr="00913ABF">
        <w:t>[i.</w:t>
      </w:r>
      <w:r w:rsidR="00A2433F">
        <w:t>1</w:t>
      </w:r>
      <w:r w:rsidR="00A2433F" w:rsidRPr="00913ABF">
        <w:t>]</w:t>
      </w:r>
      <w:r w:rsidR="00A2433F">
        <w:fldChar w:fldCharType="end"/>
      </w:r>
      <w:r w:rsidR="00A2433F">
        <w:t xml:space="preserve"> </w:t>
      </w:r>
      <w:r>
        <w:t>was performed assuming a highway scenario with multiple lanes per direction and different levels of road traffic. Furthermore, different settings were assumed in terms of which channels were used</w:t>
      </w:r>
      <w:r w:rsidR="00063757">
        <w:t xml:space="preserve"> by the vehicles moving in the scenario</w:t>
      </w:r>
      <w:r>
        <w:t>.</w:t>
      </w:r>
      <w:r w:rsidR="00063757">
        <w:t xml:space="preserve"> Both cases where similar data traffic was generated on average in the various channels (balanced load) and cases where the load was imbalanced, were considered. </w:t>
      </w:r>
    </w:p>
    <w:p w14:paraId="2F94702C" w14:textId="0D244D05" w:rsidR="00D22A1B" w:rsidRDefault="00D22A1B" w:rsidP="009D02A1">
      <w:r>
        <w:t>The main conclusions of the study can be summarized as follows:</w:t>
      </w:r>
    </w:p>
    <w:p w14:paraId="44AB82FF" w14:textId="03274F42" w:rsidR="00D22A1B" w:rsidRDefault="00D22A1B" w:rsidP="00F140CF">
      <w:pPr>
        <w:pStyle w:val="ListParagraph"/>
        <w:numPr>
          <w:ilvl w:val="0"/>
          <w:numId w:val="23"/>
        </w:numPr>
      </w:pPr>
      <w:r>
        <w:t xml:space="preserve">When transmissions are performed in channels that are not </w:t>
      </w:r>
      <w:r w:rsidR="00A125A1">
        <w:t>directly</w:t>
      </w:r>
      <w:r>
        <w:t xml:space="preserve"> adjacent to each other, the interference that they cause reciprocally only slightly reduces the probability to correctly receive the packets</w:t>
      </w:r>
      <w:r w:rsidR="008A07DD">
        <w:t>.</w:t>
      </w:r>
      <w:r>
        <w:t xml:space="preserve"> </w:t>
      </w:r>
      <w:r w:rsidR="008A07DD">
        <w:t xml:space="preserve">This also holds even </w:t>
      </w:r>
      <w:r>
        <w:t>when the channels are congested</w:t>
      </w:r>
      <w:r w:rsidR="008A07DD">
        <w:t>.</w:t>
      </w:r>
      <w:r>
        <w:t xml:space="preserve"> </w:t>
      </w:r>
      <w:r w:rsidR="008A07DD">
        <w:t>T</w:t>
      </w:r>
      <w:r>
        <w:t xml:space="preserve">his implies that there is no need to take the </w:t>
      </w:r>
      <w:r w:rsidR="000862AE">
        <w:t xml:space="preserve">congestion </w:t>
      </w:r>
      <w:r>
        <w:t xml:space="preserve">status of the channels </w:t>
      </w:r>
      <w:r w:rsidR="008A0878">
        <w:t>beyond the first</w:t>
      </w:r>
      <w:r>
        <w:t xml:space="preserve"> adjacent </w:t>
      </w:r>
      <w:r w:rsidR="00FA7035">
        <w:t>chann</w:t>
      </w:r>
      <w:r w:rsidR="006D75BB">
        <w:t>e</w:t>
      </w:r>
      <w:r w:rsidR="00FA7035">
        <w:t xml:space="preserve">ls </w:t>
      </w:r>
      <w:r>
        <w:t>into account in the internal RM operations;</w:t>
      </w:r>
    </w:p>
    <w:p w14:paraId="17DB0A17" w14:textId="3EC9CC8C" w:rsidR="00194216" w:rsidRDefault="00E96B5D" w:rsidP="00F140CF">
      <w:pPr>
        <w:pStyle w:val="ListParagraph"/>
        <w:numPr>
          <w:ilvl w:val="0"/>
          <w:numId w:val="23"/>
        </w:numPr>
      </w:pPr>
      <w:r>
        <w:t>Focusing on transmissions in the first adjacent channel, they</w:t>
      </w:r>
      <w:r w:rsidR="00194216">
        <w:t xml:space="preserve"> do not impact relevantly on the clear channel assessment performed by CSMA/CA before transmitting, but impact on the calculation of the CBR</w:t>
      </w:r>
      <w:r w:rsidR="007C1DD0">
        <w:t>.</w:t>
      </w:r>
      <w:r w:rsidR="00194216">
        <w:t xml:space="preserve"> </w:t>
      </w:r>
      <w:r w:rsidR="007C1DD0">
        <w:t>A</w:t>
      </w:r>
      <w:r w:rsidR="00194216">
        <w:t xml:space="preserve">s a consequence, rarely transmissions </w:t>
      </w:r>
      <w:r w:rsidR="004E165E">
        <w:t>are</w:t>
      </w:r>
      <w:r w:rsidR="00194216">
        <w:t xml:space="preserve"> deferred due to interference from adjacent channels, but the interference may increase the CBR and therefore reduce the number of transmissions overall performed in the given channel</w:t>
      </w:r>
      <w:r w:rsidR="007C1DD0">
        <w:t>.</w:t>
      </w:r>
      <w:r w:rsidR="00194216">
        <w:t xml:space="preserve"> </w:t>
      </w:r>
      <w:r w:rsidR="00E6336D">
        <w:t xml:space="preserve">When </w:t>
      </w:r>
      <w:r w:rsidR="00194216">
        <w:t xml:space="preserve">two channels </w:t>
      </w:r>
      <w:r w:rsidR="00C43C5B">
        <w:t xml:space="preserve">that are </w:t>
      </w:r>
      <w:r w:rsidR="00E6336D">
        <w:t xml:space="preserve">directly </w:t>
      </w:r>
      <w:r w:rsidR="00EB6C1F">
        <w:t xml:space="preserve">adjacent to each other </w:t>
      </w:r>
      <w:r w:rsidR="00194216">
        <w:t xml:space="preserve">are highly loaded, the effect is a reduction of the </w:t>
      </w:r>
      <w:r w:rsidR="00C43C5B">
        <w:t xml:space="preserve">average </w:t>
      </w:r>
      <w:r w:rsidR="00194216">
        <w:t>number of transmissions due to congestion control, thus a reduction of the collision probability in each of the two channels</w:t>
      </w:r>
      <w:r w:rsidR="007C1DD0">
        <w:t>.</w:t>
      </w:r>
      <w:r w:rsidR="003F3938">
        <w:t xml:space="preserve"> </w:t>
      </w:r>
      <w:r w:rsidR="007C1DD0">
        <w:t>T</w:t>
      </w:r>
      <w:r w:rsidR="00194216">
        <w:t>his</w:t>
      </w:r>
      <w:r w:rsidR="00C43C5B">
        <w:t xml:space="preserve"> in part</w:t>
      </w:r>
      <w:r w:rsidR="00194216">
        <w:t xml:space="preserve"> counterbalances the increase of errors at the receivers</w:t>
      </w:r>
      <w:r w:rsidR="00777FBC">
        <w:t>.</w:t>
      </w:r>
    </w:p>
    <w:p w14:paraId="0AA404B9" w14:textId="36FC010E" w:rsidR="00194216" w:rsidRDefault="00922293" w:rsidP="00F140CF">
      <w:pPr>
        <w:pStyle w:val="ListParagraph"/>
        <w:numPr>
          <w:ilvl w:val="0"/>
          <w:numId w:val="23"/>
        </w:numPr>
      </w:pPr>
      <w:r>
        <w:t xml:space="preserve">A highly loaded </w:t>
      </w:r>
      <w:r w:rsidR="00194216">
        <w:t xml:space="preserve">first adjacent </w:t>
      </w:r>
      <w:r w:rsidR="00D63404">
        <w:t>channel can</w:t>
      </w:r>
      <w:r w:rsidR="00194216">
        <w:t xml:space="preserve"> cause a reduction of the probability of correct reception of the packets</w:t>
      </w:r>
      <w:r w:rsidR="00AA66D1">
        <w:t xml:space="preserve"> which leads to</w:t>
      </w:r>
      <w:r w:rsidR="00194216">
        <w:t xml:space="preserve"> an estimated loss of range that can reach 25-30% (where the range is defined as the maximum distance at which a certain minimum reception probability is obtained)</w:t>
      </w:r>
      <w:r w:rsidR="00AA66D1">
        <w:t xml:space="preserve">. </w:t>
      </w:r>
    </w:p>
    <w:p w14:paraId="7603DE88" w14:textId="6B39B931" w:rsidR="00D22A1B" w:rsidRDefault="00D22A1B" w:rsidP="00F140CF">
      <w:pPr>
        <w:pStyle w:val="ListParagraph"/>
        <w:numPr>
          <w:ilvl w:val="0"/>
          <w:numId w:val="23"/>
        </w:numPr>
      </w:pPr>
      <w:r>
        <w:t xml:space="preserve">Distributing the </w:t>
      </w:r>
      <w:r w:rsidR="00194216">
        <w:t xml:space="preserve">data </w:t>
      </w:r>
      <w:r>
        <w:t xml:space="preserve">traffic over two channels, even </w:t>
      </w:r>
      <w:r w:rsidR="003F3938">
        <w:t xml:space="preserve">directly </w:t>
      </w:r>
      <w:r>
        <w:t xml:space="preserve">adjacent to each other, is always preferable </w:t>
      </w:r>
      <w:r w:rsidR="00922293">
        <w:t xml:space="preserve">to </w:t>
      </w:r>
      <w:r w:rsidR="00194216">
        <w:t>having all the data traffic in a single channel</w:t>
      </w:r>
      <w:r w:rsidR="00922293">
        <w:t>.</w:t>
      </w:r>
      <w:r w:rsidR="00194216">
        <w:t xml:space="preserve"> </w:t>
      </w:r>
      <w:r w:rsidR="00922293">
        <w:t>T</w:t>
      </w:r>
      <w:r w:rsidR="00194216">
        <w:t xml:space="preserve">his means that the reciprocal interference caused by transmissions in adjacent channels has an impact lower than the advantage obtained by halving the </w:t>
      </w:r>
      <w:r w:rsidR="0012690C">
        <w:t xml:space="preserve">data </w:t>
      </w:r>
      <w:r w:rsidR="00194216">
        <w:t xml:space="preserve">load </w:t>
      </w:r>
      <w:r w:rsidR="0012690C">
        <w:t>in</w:t>
      </w:r>
      <w:r w:rsidR="00194216">
        <w:t xml:space="preserve"> a single channel</w:t>
      </w:r>
      <w:r w:rsidR="00777FBC">
        <w:t>.</w:t>
      </w:r>
    </w:p>
    <w:p w14:paraId="04A32164" w14:textId="2029F058" w:rsidR="00EB6C1F" w:rsidRDefault="00EB6C1F" w:rsidP="00F140CF">
      <w:pPr>
        <w:pStyle w:val="ListParagraph"/>
        <w:numPr>
          <w:ilvl w:val="0"/>
          <w:numId w:val="23"/>
        </w:numPr>
      </w:pPr>
      <w:r>
        <w:t xml:space="preserve">Due to the current constraints imposed to the transmission mask, reducing the transmission power in one channel may not significantly reduce the interference it causes to the adjacent channels; </w:t>
      </w:r>
      <w:r w:rsidR="00B616FF">
        <w:t xml:space="preserve">even if this also depends on the specific implementation, </w:t>
      </w:r>
      <w:r w:rsidR="000A1CBB">
        <w:t xml:space="preserve">the observation is that </w:t>
      </w:r>
      <w:r>
        <w:t>using power control to reduce the interference between adjacent channels may not be effective;</w:t>
      </w:r>
    </w:p>
    <w:p w14:paraId="56F80467" w14:textId="345E3C75" w:rsidR="00EB6C1F" w:rsidRDefault="00EB6C1F" w:rsidP="00F140CF">
      <w:pPr>
        <w:pStyle w:val="ListParagraph"/>
        <w:numPr>
          <w:ilvl w:val="0"/>
          <w:numId w:val="23"/>
        </w:numPr>
      </w:pPr>
      <w:r>
        <w:t>Reducing the congestion control limit in one channel may reduce the maximum interference that th</w:t>
      </w:r>
      <w:r w:rsidR="000A1CBB">
        <w:t>e</w:t>
      </w:r>
      <w:r>
        <w:t xml:space="preserve"> </w:t>
      </w:r>
      <w:r w:rsidR="00047EAD">
        <w:t xml:space="preserve">transmissions in that </w:t>
      </w:r>
      <w:r>
        <w:t xml:space="preserve">channel cause to </w:t>
      </w:r>
      <w:r w:rsidR="00047EAD">
        <w:t xml:space="preserve">those in </w:t>
      </w:r>
      <w:r>
        <w:t>its first adjacent channels; re</w:t>
      </w:r>
      <w:r w:rsidR="00047EAD">
        <w:t>d</w:t>
      </w:r>
      <w:r>
        <w:t>u</w:t>
      </w:r>
      <w:r w:rsidR="00047EAD">
        <w:t>c</w:t>
      </w:r>
      <w:r>
        <w:t>ing the limit in one channel may therefore be used to protect its first adjacent channels.</w:t>
      </w:r>
    </w:p>
    <w:p w14:paraId="1F13FB05" w14:textId="6CF88C21" w:rsidR="00D22A1B" w:rsidRDefault="00EB6C1F" w:rsidP="009D02A1">
      <w:r>
        <w:t>Given these considerations,</w:t>
      </w:r>
      <w:r w:rsidR="00063757">
        <w:t xml:space="preserve"> the interference from stations using the same protocols can reduce the performance of the transmissions but do not appear critical. Possibly, </w:t>
      </w:r>
      <w:r>
        <w:t xml:space="preserve">it </w:t>
      </w:r>
      <w:r w:rsidR="00063757">
        <w:t xml:space="preserve">may be helpful to reduce the congestion control limit in some channels in order to prevent </w:t>
      </w:r>
      <w:r w:rsidR="00284142">
        <w:t xml:space="preserve">that </w:t>
      </w:r>
      <w:r w:rsidR="00063757">
        <w:t xml:space="preserve">transmission performed in </w:t>
      </w:r>
      <w:r w:rsidR="00284142">
        <w:t xml:space="preserve">those channels </w:t>
      </w:r>
      <w:r w:rsidR="00063757">
        <w:t>reduce the capacity of their first adjacent channels and the range of transmissions there performed. It is to observe that this would however give priority to some channels instead of others.</w:t>
      </w:r>
    </w:p>
    <w:p w14:paraId="52616890" w14:textId="745900A7" w:rsidR="00063757" w:rsidRDefault="00063757" w:rsidP="009D02A1">
      <w:r>
        <w:t xml:space="preserve">In all the cases, distributing the traffic over multiple channels </w:t>
      </w:r>
      <w:r w:rsidR="00461A43">
        <w:t>appears</w:t>
      </w:r>
      <w:r>
        <w:t xml:space="preserve"> beneficial.</w:t>
      </w:r>
    </w:p>
    <w:p w14:paraId="5A4B5728" w14:textId="77777777" w:rsidR="009D02A1" w:rsidRDefault="009D02A1" w:rsidP="00F140CF">
      <w:pPr>
        <w:pStyle w:val="Heading3"/>
        <w:numPr>
          <w:ilvl w:val="2"/>
          <w:numId w:val="11"/>
        </w:numPr>
        <w:ind w:left="1134"/>
      </w:pPr>
      <w:bookmarkStart w:id="206" w:name="_Toc197337026"/>
      <w:r>
        <w:t>Adjacent channel monitoring</w:t>
      </w:r>
      <w:bookmarkEnd w:id="206"/>
    </w:p>
    <w:p w14:paraId="175B885A" w14:textId="3A8F1A2F" w:rsidR="009D02A1" w:rsidRDefault="009D1969" w:rsidP="009D02A1">
      <w:r>
        <w:t>Different approaches</w:t>
      </w:r>
      <w:r w:rsidR="009D02A1">
        <w:t xml:space="preserve"> for </w:t>
      </w:r>
      <w:r>
        <w:t xml:space="preserve">the </w:t>
      </w:r>
      <w:r w:rsidR="009D02A1">
        <w:t xml:space="preserve">monitoring operations </w:t>
      </w:r>
      <w:r>
        <w:t xml:space="preserve">of adjacent channel interference </w:t>
      </w:r>
      <w:r w:rsidR="009D02A1">
        <w:t>have to be taken for single channel and multichannel ITS-S</w:t>
      </w:r>
      <w:r>
        <w:t>.</w:t>
      </w:r>
      <w:r w:rsidR="009D02A1">
        <w:t xml:space="preserve"> </w:t>
      </w:r>
      <w:r>
        <w:t>A single channel device cannot differentiate between interoperable or non-interoperable deployments in the adjacent channels without switching to these channels, thus a</w:t>
      </w:r>
      <w:r w:rsidR="009D02A1">
        <w:t xml:space="preserve"> single channel ITS-S can only passively monitor the </w:t>
      </w:r>
      <w:r>
        <w:t xml:space="preserve">interference increase </w:t>
      </w:r>
      <w:r w:rsidR="009D02A1">
        <w:t>as part of the channel load measurement</w:t>
      </w:r>
      <w:r>
        <w:t>, independently from the nature</w:t>
      </w:r>
      <w:r w:rsidR="009D02A1">
        <w:t xml:space="preserve">. In contrast, multichannel devices can perform this differentiation </w:t>
      </w:r>
      <w:r>
        <w:t xml:space="preserve">and </w:t>
      </w:r>
      <w:r w:rsidR="009D02A1">
        <w:t xml:space="preserve">can take the required control decisions. </w:t>
      </w:r>
    </w:p>
    <w:p w14:paraId="2D8AB0F9" w14:textId="77777777" w:rsidR="009D02A1" w:rsidRDefault="009D02A1" w:rsidP="00F140CF">
      <w:pPr>
        <w:pStyle w:val="Heading3"/>
        <w:numPr>
          <w:ilvl w:val="2"/>
          <w:numId w:val="11"/>
        </w:numPr>
        <w:ind w:left="1134"/>
      </w:pPr>
      <w:bookmarkStart w:id="207" w:name="_Toc197337027"/>
      <w:r>
        <w:t>Cross-channel RRM control</w:t>
      </w:r>
      <w:bookmarkEnd w:id="207"/>
    </w:p>
    <w:p w14:paraId="1FA82806" w14:textId="7A3481AD" w:rsidR="00844B6A" w:rsidRDefault="00844B6A" w:rsidP="00844B6A">
      <w:r>
        <w:t xml:space="preserve">In a single channel device, the adjacent channel interference will be treated as normal unspecified channel load element together with the co-channel load elements. The resulting levels of the load estimation in the access layer will be taken into account in the management algorithms. The co-channel load originating from an interoperable ITS system could be treated differently from the non-interoperable and adjacent channel interference. </w:t>
      </w:r>
    </w:p>
    <w:p w14:paraId="3CE2D091" w14:textId="7CC3716C" w:rsidR="009D02A1" w:rsidRPr="005506B3" w:rsidRDefault="00844B6A" w:rsidP="00844B6A">
      <w:pPr>
        <w:overflowPunct/>
        <w:spacing w:after="0"/>
        <w:textAlignment w:val="auto"/>
      </w:pPr>
      <w:r>
        <w:t>In a multichannel device a more detailed view of the interference characteristics in the adjacent channel can be evaluated. This information can be used for an optimization of the RM control algorithm. In order to be able to perform a differentiated between load originating from interoperable systems and non-interoperable system the channel load information from the co-channel and adjacent channel would need to be reported in a structured manner.</w:t>
      </w:r>
    </w:p>
    <w:p w14:paraId="4996BFA5" w14:textId="37BCAC0B" w:rsidR="00E0268A" w:rsidRDefault="00E0268A" w:rsidP="00F140CF">
      <w:pPr>
        <w:pStyle w:val="Heading2"/>
        <w:numPr>
          <w:ilvl w:val="1"/>
          <w:numId w:val="11"/>
        </w:numPr>
        <w:ind w:left="1134"/>
      </w:pPr>
      <w:bookmarkStart w:id="208" w:name="_Toc197337028"/>
      <w:r>
        <w:t>Modifications required and suggested towards Release 2</w:t>
      </w:r>
      <w:bookmarkEnd w:id="208"/>
    </w:p>
    <w:p w14:paraId="5C20EDAC" w14:textId="44ECC6C9" w:rsidR="00E0268A" w:rsidRPr="00A97CC1" w:rsidRDefault="00E0268A" w:rsidP="00F140CF">
      <w:pPr>
        <w:pStyle w:val="Heading3"/>
        <w:numPr>
          <w:ilvl w:val="2"/>
          <w:numId w:val="11"/>
        </w:numPr>
        <w:ind w:left="1134"/>
      </w:pPr>
      <w:bookmarkStart w:id="209" w:name="_Toc197337029"/>
      <w:r>
        <w:t>Introduction</w:t>
      </w:r>
      <w:bookmarkEnd w:id="209"/>
    </w:p>
    <w:p w14:paraId="222FA3BB" w14:textId="5C6100F3" w:rsidR="00E0268A" w:rsidRDefault="00E0268A" w:rsidP="00E0268A">
      <w:r>
        <w:t>This clause</w:t>
      </w:r>
      <w:r w:rsidRPr="00F8778B">
        <w:t xml:space="preserve"> focus</w:t>
      </w:r>
      <w:r>
        <w:t>es</w:t>
      </w:r>
      <w:r w:rsidRPr="00F8778B">
        <w:t xml:space="preserve"> on the modifications that are required to comply with the </w:t>
      </w:r>
      <w:r>
        <w:t>RM</w:t>
      </w:r>
      <w:r w:rsidRPr="00F8778B">
        <w:t xml:space="preserve"> approach in Release 2</w:t>
      </w:r>
      <w:r>
        <w:t>, where congestion control needs to indicate the available resources in an abstracted way at the facilities layer. Modifications in channels that are already used today need not to affect the performance of devices that are already on the road.</w:t>
      </w:r>
    </w:p>
    <w:p w14:paraId="00DBA67C" w14:textId="068E60A5" w:rsidR="00E0268A" w:rsidRDefault="00840FA4" w:rsidP="00E0268A">
      <w:r>
        <w:t>In Release 1, the congestion control mechanism is fundamentally performed at the access layer, in which case it is technology-dependent and cannot affect the message generation. In Release 2, the RM functionality needs to be aware of the available resources</w:t>
      </w:r>
      <w:r w:rsidR="00A97CC1">
        <w:t xml:space="preserve"> and </w:t>
      </w:r>
      <w:r w:rsidR="002961B7">
        <w:t>to manage them;</w:t>
      </w:r>
      <w:r>
        <w:t xml:space="preserve"> the following two </w:t>
      </w:r>
      <w:r w:rsidR="00E0268A">
        <w:t>approaches</w:t>
      </w:r>
      <w:r>
        <w:t xml:space="preserve"> appear </w:t>
      </w:r>
      <w:r w:rsidR="002961B7">
        <w:t>possible</w:t>
      </w:r>
      <w:r w:rsidR="00E0268A">
        <w:t xml:space="preserve">: </w:t>
      </w:r>
    </w:p>
    <w:p w14:paraId="139A8F0D" w14:textId="1144BC1D" w:rsidR="00E0268A" w:rsidRDefault="00E0268A" w:rsidP="00F140CF">
      <w:pPr>
        <w:pStyle w:val="ListParagraph"/>
        <w:numPr>
          <w:ilvl w:val="0"/>
          <w:numId w:val="24"/>
        </w:numPr>
      </w:pPr>
      <w:r>
        <w:t xml:space="preserve">The access layer provides the information </w:t>
      </w:r>
      <w:r w:rsidR="0004503E">
        <w:t>about</w:t>
      </w:r>
      <w:r>
        <w:t xml:space="preserve"> the channel load to the facilities</w:t>
      </w:r>
      <w:r w:rsidR="00840FA4">
        <w:t xml:space="preserve"> layer,</w:t>
      </w:r>
      <w:r>
        <w:t xml:space="preserve"> and congestion control is performed at the facilities layer; or </w:t>
      </w:r>
    </w:p>
    <w:p w14:paraId="391AEEE2" w14:textId="11B5C466" w:rsidR="00E0268A" w:rsidRDefault="00E0268A" w:rsidP="00F140CF">
      <w:pPr>
        <w:pStyle w:val="ListParagraph"/>
        <w:numPr>
          <w:ilvl w:val="0"/>
          <w:numId w:val="24"/>
        </w:numPr>
      </w:pPr>
      <w:r>
        <w:t xml:space="preserve">Congestion control is performed at the access layer and the available resources </w:t>
      </w:r>
      <w:r w:rsidR="00840FA4">
        <w:t xml:space="preserve">are </w:t>
      </w:r>
      <w:r>
        <w:t>abstracted to the facilities layer.</w:t>
      </w:r>
    </w:p>
    <w:p w14:paraId="77085610" w14:textId="18AF5EFE" w:rsidR="00943DE0" w:rsidRDefault="00943DE0" w:rsidP="00943DE0">
      <w:r>
        <w:t xml:space="preserve">The approach one listed above foresees that per each channel either (i) the facilities layer implements a technology specific algorithm per each technology that is supported, or (ii) it implements an agnostic algorithm, which in turn requires the definition of a technology-agnostic channel load measure derived from the measurements performed differently by each technology. Having a technology specific algorithm appears undesirable as it complicates the design of the RM, with the risk to duplicate some functions at both the access layer and the facilities layer. At the same time, having a technology-agnostic channel load metric and a translation from a technology specific measurement to this metric appears very challenging. </w:t>
      </w:r>
    </w:p>
    <w:p w14:paraId="1FDB2AA7" w14:textId="4CCDBEFD" w:rsidR="009531B6" w:rsidRDefault="00943DE0" w:rsidP="00E0268A">
      <w:r>
        <w:t>For these reasons, the approach two above appears preferable and therefore only that approach is further discussed in the following</w:t>
      </w:r>
      <w:r w:rsidR="009154F9">
        <w:t>.</w:t>
      </w:r>
    </w:p>
    <w:p w14:paraId="1637C35C" w14:textId="6FE9EFFD" w:rsidR="00840FA4" w:rsidRDefault="009154F9" w:rsidP="00F140CF">
      <w:pPr>
        <w:pStyle w:val="Heading3"/>
        <w:numPr>
          <w:ilvl w:val="2"/>
          <w:numId w:val="11"/>
        </w:numPr>
        <w:ind w:left="1134"/>
      </w:pPr>
      <w:bookmarkStart w:id="210" w:name="_Toc197337030"/>
      <w:r>
        <w:t>C</w:t>
      </w:r>
      <w:r w:rsidR="00840FA4">
        <w:t xml:space="preserve">ongestion control </w:t>
      </w:r>
      <w:r>
        <w:t>in Release 2</w:t>
      </w:r>
      <w:bookmarkEnd w:id="210"/>
    </w:p>
    <w:p w14:paraId="7B6E989C" w14:textId="2D6EBECA" w:rsidR="00ED3DAD" w:rsidRDefault="009154F9" w:rsidP="00ED3DAD">
      <w:r>
        <w:t>The</w:t>
      </w:r>
      <w:r w:rsidR="00972D0A">
        <w:t xml:space="preserve"> </w:t>
      </w:r>
      <w:r w:rsidR="00ED3DAD">
        <w:t xml:space="preserve">approach </w:t>
      </w:r>
      <w:r>
        <w:t xml:space="preserve">proposed for Release 2 congestion control </w:t>
      </w:r>
      <w:r w:rsidR="00ED3DAD">
        <w:t xml:space="preserve">is to maintain </w:t>
      </w:r>
      <w:r>
        <w:t>it</w:t>
      </w:r>
      <w:r w:rsidR="00ED3DAD">
        <w:t xml:space="preserve"> mainly at the access layer</w:t>
      </w:r>
      <w:r>
        <w:t>, but abstracting to the facilities layer the resources that are available</w:t>
      </w:r>
      <w:r w:rsidR="00ED3DAD">
        <w:t xml:space="preserve">. </w:t>
      </w:r>
      <w:r w:rsidR="00F80945">
        <w:t xml:space="preserve">In the case of ITS-G5, the available resource may correspond to </w:t>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oMath>
      <w:r w:rsidR="00F80945">
        <w:t>+</w:t>
      </w:r>
      <m:oMath>
        <m:sSub>
          <m:sSubPr>
            <m:ctrlPr>
              <w:rPr>
                <w:rFonts w:ascii="Cambria Math" w:hAnsi="Cambria Math"/>
                <w:i/>
              </w:rPr>
            </m:ctrlPr>
          </m:sSubPr>
          <m:e>
            <m:r>
              <w:rPr>
                <w:rFonts w:ascii="Cambria Math" w:hAnsi="Cambria Math"/>
              </w:rPr>
              <m:t>T</m:t>
            </m:r>
          </m:e>
          <m:sub>
            <m:r>
              <w:rPr>
                <w:rFonts w:ascii="Cambria Math" w:hAnsi="Cambria Math"/>
              </w:rPr>
              <m:t>off</m:t>
            </m:r>
          </m:sub>
        </m:sSub>
        <m:r>
          <w:rPr>
            <w:rFonts w:ascii="Cambria Math" w:hAnsi="Cambria Math"/>
          </w:rPr>
          <m:t>)</m:t>
        </m:r>
      </m:oMath>
      <w:r w:rsidR="00AF7FE2">
        <w:t>, with values</w:t>
      </w:r>
      <w:r w:rsidR="00F03B19">
        <w:t xml:space="preserve"> </w:t>
      </w:r>
      <w:r w:rsidR="00AF7FE2">
        <w:t>calculated using a reactive or adaptive approach</w:t>
      </w:r>
      <w:r w:rsidR="00065153">
        <w:t>.</w:t>
      </w:r>
      <w:r w:rsidR="009531B6">
        <w:t xml:space="preserve"> Other access technologies may implement different procedures.</w:t>
      </w:r>
    </w:p>
    <w:p w14:paraId="618DD0DF" w14:textId="08330AC3" w:rsidR="009531B6" w:rsidRDefault="009531B6" w:rsidP="00ED3DAD">
      <w:r>
        <w:t xml:space="preserve">This approach requires the definition of </w:t>
      </w:r>
      <w:r w:rsidR="008C5639">
        <w:t>resources at the facilities layer that are agnostic of the specific access technology</w:t>
      </w:r>
      <w:r w:rsidR="00085B49">
        <w:t xml:space="preserve">, which might be </w:t>
      </w:r>
      <w:r w:rsidR="009E255A">
        <w:t xml:space="preserve">for example </w:t>
      </w:r>
      <w:r w:rsidR="00085B49">
        <w:t xml:space="preserve">a bandwidth-time product </w:t>
      </w:r>
      <w:r w:rsidR="00D35A93">
        <w:t>in each</w:t>
      </w:r>
      <w:r w:rsidR="00085B49">
        <w:t xml:space="preserve"> interval of time. </w:t>
      </w:r>
      <w:r w:rsidR="00F144BB">
        <w:t>The available resources can be mapped in the facilities layer to each ALI</w:t>
      </w:r>
      <w:r w:rsidR="006E5DFD">
        <w:t xml:space="preserve"> group</w:t>
      </w:r>
      <w:r w:rsidR="00F144BB">
        <w:t xml:space="preserve">. </w:t>
      </w:r>
      <w:r w:rsidR="00D35A93">
        <w:t xml:space="preserve">When the facilities layer is aware of the resources that are available per each ALI </w:t>
      </w:r>
      <w:r w:rsidR="006E5DFD">
        <w:t xml:space="preserve">group </w:t>
      </w:r>
      <w:r w:rsidR="00D35A93">
        <w:t xml:space="preserve">and </w:t>
      </w:r>
      <w:r w:rsidR="00576B92">
        <w:t xml:space="preserve">is able to map the messages </w:t>
      </w:r>
      <w:r w:rsidR="006C2E1F">
        <w:t xml:space="preserve">that need </w:t>
      </w:r>
      <w:r w:rsidR="00576B92">
        <w:t xml:space="preserve">to </w:t>
      </w:r>
      <w:r w:rsidR="006C2E1F">
        <w:t xml:space="preserve">be </w:t>
      </w:r>
      <w:r w:rsidR="00576B92">
        <w:t>deliver</w:t>
      </w:r>
      <w:r w:rsidR="006C2E1F">
        <w:t>ed</w:t>
      </w:r>
      <w:r w:rsidR="00576B92">
        <w:t xml:space="preserve"> to an </w:t>
      </w:r>
      <w:r w:rsidR="00D63404">
        <w:t>number</w:t>
      </w:r>
      <w:r w:rsidR="00576B92">
        <w:t xml:space="preserve"> of resources </w:t>
      </w:r>
      <w:r w:rsidR="006C2E1F">
        <w:t xml:space="preserve">that they would </w:t>
      </w:r>
      <w:r w:rsidR="00576B92">
        <w:t>consume, the RM can make the appropriate decisions.</w:t>
      </w:r>
    </w:p>
    <w:p w14:paraId="494845E9" w14:textId="14351E61" w:rsidR="001C4185" w:rsidRDefault="001C4185" w:rsidP="00ED3DAD">
      <w:r>
        <w:t xml:space="preserve">Concerning the congestion control algorithm, this approach </w:t>
      </w:r>
      <w:r w:rsidR="006E5DFD">
        <w:t xml:space="preserve">does </w:t>
      </w:r>
      <w:r>
        <w:t>not require</w:t>
      </w:r>
      <w:r w:rsidR="001E1F69">
        <w:t xml:space="preserve"> </w:t>
      </w:r>
      <w:r w:rsidR="00C471FA">
        <w:t xml:space="preserve">relevant </w:t>
      </w:r>
      <w:r w:rsidR="001E1F69">
        <w:t>modifications to the algorithms used in Release 1.</w:t>
      </w:r>
    </w:p>
    <w:p w14:paraId="3B233386" w14:textId="53A64B4E" w:rsidR="001E1F69" w:rsidRPr="00ED3DAD" w:rsidRDefault="006E5DFD" w:rsidP="00ED3DAD">
      <w:r>
        <w:t xml:space="preserve">In addition to the provision of the available resources to the facilities layer, </w:t>
      </w:r>
      <w:r w:rsidR="001E1F69">
        <w:t xml:space="preserve">the access layer needs to inform </w:t>
      </w:r>
      <w:r>
        <w:t>it</w:t>
      </w:r>
      <w:r w:rsidR="001E1F69">
        <w:t xml:space="preserve"> of relevant events, such as </w:t>
      </w:r>
      <w:r w:rsidR="001E1F69">
        <w:rPr>
          <w:lang w:eastAsia="en-GB"/>
        </w:rPr>
        <w:t>q</w:t>
      </w:r>
      <w:r w:rsidR="001E1F69" w:rsidRPr="00B1354A">
        <w:rPr>
          <w:lang w:eastAsia="en-GB"/>
        </w:rPr>
        <w:t>ueue overflow</w:t>
      </w:r>
      <w:r w:rsidR="001E1F69">
        <w:rPr>
          <w:lang w:eastAsia="en-GB"/>
        </w:rPr>
        <w:t>, dr</w:t>
      </w:r>
      <w:r w:rsidR="001E1F69" w:rsidRPr="00B1354A">
        <w:rPr>
          <w:lang w:eastAsia="en-GB"/>
        </w:rPr>
        <w:t>op of packets</w:t>
      </w:r>
      <w:r w:rsidR="001E1F69">
        <w:rPr>
          <w:lang w:eastAsia="en-GB"/>
        </w:rPr>
        <w:t>, and t</w:t>
      </w:r>
      <w:r w:rsidR="001E1F69" w:rsidRPr="00B1354A">
        <w:rPr>
          <w:lang w:eastAsia="en-GB"/>
        </w:rPr>
        <w:t>ime out of packets</w:t>
      </w:r>
      <w:r w:rsidR="00767F81">
        <w:rPr>
          <w:lang w:eastAsia="en-GB"/>
        </w:rPr>
        <w:t>; the</w:t>
      </w:r>
      <w:r>
        <w:rPr>
          <w:lang w:eastAsia="en-GB"/>
        </w:rPr>
        <w:t>ir</w:t>
      </w:r>
      <w:r w:rsidR="00767F81">
        <w:rPr>
          <w:lang w:eastAsia="en-GB"/>
        </w:rPr>
        <w:t xml:space="preserve"> </w:t>
      </w:r>
      <w:r>
        <w:rPr>
          <w:lang w:eastAsia="en-GB"/>
        </w:rPr>
        <w:t xml:space="preserve">identification </w:t>
      </w:r>
      <w:r w:rsidR="001E1F69">
        <w:rPr>
          <w:lang w:eastAsia="en-GB"/>
        </w:rPr>
        <w:t xml:space="preserve">and notification by the access layer need </w:t>
      </w:r>
      <w:r w:rsidR="00767F81">
        <w:rPr>
          <w:lang w:eastAsia="en-GB"/>
        </w:rPr>
        <w:t xml:space="preserve">therefore </w:t>
      </w:r>
      <w:r w:rsidR="001E1F69">
        <w:rPr>
          <w:lang w:eastAsia="en-GB"/>
        </w:rPr>
        <w:t>to be specified in Release 2.</w:t>
      </w:r>
    </w:p>
    <w:p w14:paraId="25B16CF1" w14:textId="7627A322" w:rsidR="00840FA4" w:rsidRDefault="00F909C1" w:rsidP="00F140CF">
      <w:pPr>
        <w:pStyle w:val="Heading3"/>
        <w:numPr>
          <w:ilvl w:val="2"/>
          <w:numId w:val="11"/>
        </w:numPr>
        <w:ind w:left="1134"/>
      </w:pPr>
      <w:bookmarkStart w:id="211" w:name="_Toc197337031"/>
      <w:r>
        <w:t>Resources at the facilities layer</w:t>
      </w:r>
      <w:bookmarkEnd w:id="211"/>
    </w:p>
    <w:p w14:paraId="234B90C3" w14:textId="77777777" w:rsidR="005B21F8" w:rsidRDefault="005B21F8" w:rsidP="005B21F8">
      <w:r>
        <w:t>One issue that needs to be solved is how to abstract the radio resources from the access layer to the facilities layer.</w:t>
      </w:r>
    </w:p>
    <w:p w14:paraId="24FD5173" w14:textId="2DA3DE02" w:rsidR="005B21F8" w:rsidRDefault="005B21F8" w:rsidP="005B21F8">
      <w:r>
        <w:t xml:space="preserve">The main difficulty is that the resources available and the resources used do not only depend on the average number of bits generated but also (i) on the number of packets, since each packet has its own headers adding overhead, and (ii) on the specific settings at the access layer, including for example the MCS. </w:t>
      </w:r>
    </w:p>
    <w:p w14:paraId="252A5CA1" w14:textId="77777777" w:rsidR="005B21F8" w:rsidRDefault="005B21F8" w:rsidP="005B21F8">
      <w:r>
        <w:t>The facilities layer should have, as much as possible, a precise and complete understanding of the options available. It should have for example all the information to decide, under congested situations, if for a given message it is better to use one or the other channel, one or the other MCS, or even discard it in case.</w:t>
      </w:r>
    </w:p>
    <w:p w14:paraId="4091F5B4" w14:textId="293098F5" w:rsidR="006E5DFD" w:rsidRDefault="005B21F8" w:rsidP="00D63404">
      <w:r>
        <w:t xml:space="preserve">The knowledge of the available channels and MCSs is already abstracted using the concepts of ALI and ALI group. What still needs work is the definition of the resources, the calculation of the available resources, and the calculation of the resource used to transmit a message in a given ALI, possibly with some knowledge about the expected performance corresponding to the use of that specific ALI. </w:t>
      </w:r>
      <w:r w:rsidR="006E5DFD">
        <w:t xml:space="preserve"> The proposed definition of the technology-agnostic resources is as follows:</w:t>
      </w:r>
    </w:p>
    <w:p w14:paraId="4E2461E2" w14:textId="7BA0E516" w:rsidR="005B21F8" w:rsidRDefault="006E5DFD" w:rsidP="00F140CF">
      <w:pPr>
        <w:pStyle w:val="ListParagraph"/>
        <w:numPr>
          <w:ilvl w:val="0"/>
          <w:numId w:val="26"/>
        </w:numPr>
      </w:pPr>
      <w:r>
        <w:t>P</w:t>
      </w:r>
      <w:r w:rsidR="005B21F8">
        <w:t xml:space="preserve">roportion of time and bandwidth. This definition is unitless and is valid for any bandwidth or time period. As an example, the resources corresponding to 0.005 are those equivalent to the transmission of either: </w:t>
      </w:r>
    </w:p>
    <w:p w14:paraId="64CBFB9B" w14:textId="77777777" w:rsidR="005B21F8" w:rsidRDefault="005B21F8" w:rsidP="00F140CF">
      <w:pPr>
        <w:pStyle w:val="ListParagraph"/>
        <w:numPr>
          <w:ilvl w:val="1"/>
          <w:numId w:val="26"/>
        </w:numPr>
      </w:pPr>
      <w:r>
        <w:t>Messages that occupy the whole bandwidth during 0.5% of the time, or</w:t>
      </w:r>
    </w:p>
    <w:p w14:paraId="008067B8" w14:textId="77777777" w:rsidR="005B21F8" w:rsidRDefault="005B21F8" w:rsidP="00F140CF">
      <w:pPr>
        <w:pStyle w:val="ListParagraph"/>
        <w:numPr>
          <w:ilvl w:val="1"/>
          <w:numId w:val="26"/>
        </w:numPr>
      </w:pPr>
      <w:r>
        <w:t>Messages that occupy the half of the bandwidth during 1% of the time, or</w:t>
      </w:r>
    </w:p>
    <w:p w14:paraId="59179B5D" w14:textId="77777777" w:rsidR="005B21F8" w:rsidRDefault="005B21F8" w:rsidP="00F140CF">
      <w:pPr>
        <w:pStyle w:val="ListParagraph"/>
        <w:numPr>
          <w:ilvl w:val="1"/>
          <w:numId w:val="26"/>
        </w:numPr>
      </w:pPr>
      <w:r>
        <w:t>Messages that occupy one fifth of the bandwidth during 2.5% of the time.</w:t>
      </w:r>
    </w:p>
    <w:p w14:paraId="79B02E5A" w14:textId="65C999AD" w:rsidR="005B21F8" w:rsidRDefault="006E5DFD" w:rsidP="005B21F8">
      <w:r>
        <w:t xml:space="preserve">This </w:t>
      </w:r>
      <w:r w:rsidR="005B21F8">
        <w:t xml:space="preserve">definition </w:t>
      </w:r>
      <w:r>
        <w:t xml:space="preserve">is </w:t>
      </w:r>
      <w:r w:rsidR="005B21F8">
        <w:t xml:space="preserve">valid for radio access technologies </w:t>
      </w:r>
      <w:r>
        <w:t xml:space="preserve">both </w:t>
      </w:r>
      <w:r w:rsidR="005B21F8">
        <w:t>with and without resource grids. As an example, ITS-G5 (</w:t>
      </w:r>
      <w:r w:rsidR="005B21F8">
        <w:fldChar w:fldCharType="begin"/>
      </w:r>
      <w:r w:rsidR="005B21F8">
        <w:instrText xml:space="preserve"> REF _Ref192489328 \h </w:instrText>
      </w:r>
      <w:r w:rsidR="005B21F8">
        <w:fldChar w:fldCharType="separate"/>
      </w:r>
      <w:r w:rsidR="00CF128B" w:rsidRPr="00191F27">
        <w:t xml:space="preserve">Figure </w:t>
      </w:r>
      <w:r w:rsidR="00CF128B">
        <w:rPr>
          <w:noProof/>
        </w:rPr>
        <w:t>11</w:t>
      </w:r>
      <w:r w:rsidR="005B21F8">
        <w:fldChar w:fldCharType="end"/>
      </w:r>
      <w:r w:rsidR="005B21F8">
        <w:t>a) makes use of the whole bandwidth in all transmissions, providing a high granularity in time. On the other hand, LTE-V2X and NR V2X (</w:t>
      </w:r>
      <w:r w:rsidR="005B21F8">
        <w:fldChar w:fldCharType="begin"/>
      </w:r>
      <w:r w:rsidR="005B21F8">
        <w:instrText xml:space="preserve"> REF _Ref192489328 \h </w:instrText>
      </w:r>
      <w:r w:rsidR="005B21F8">
        <w:fldChar w:fldCharType="separate"/>
      </w:r>
      <w:r w:rsidR="00CF128B" w:rsidRPr="00191F27">
        <w:t xml:space="preserve">Figure </w:t>
      </w:r>
      <w:r w:rsidR="00CF128B">
        <w:rPr>
          <w:noProof/>
        </w:rPr>
        <w:t>11</w:t>
      </w:r>
      <w:r w:rsidR="005B21F8">
        <w:fldChar w:fldCharType="end"/>
      </w:r>
      <w:r w:rsidR="005B21F8">
        <w:t>b) allow transmitting using part of the bandwidth but the time duration is fixed.</w:t>
      </w:r>
    </w:p>
    <w:p w14:paraId="76EF29C1" w14:textId="77777777" w:rsidR="005B21F8" w:rsidRDefault="005B21F8" w:rsidP="005B21F8">
      <w:pPr>
        <w:keepNext/>
      </w:pPr>
      <w:r>
        <w:rPr>
          <w:noProof/>
          <w:lang w:val="it-IT" w:eastAsia="it-IT"/>
        </w:rPr>
        <w:drawing>
          <wp:inline distT="0" distB="0" distL="0" distR="0" wp14:anchorId="032B6824" wp14:editId="4E80FFAD">
            <wp:extent cx="2879085" cy="837210"/>
            <wp:effectExtent l="0" t="0" r="0" b="0"/>
            <wp:docPr id="1377834438" name="Imagen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834438" name="Imagen 1" descr="A screenshot of a video game&#10;&#10;AI-generated content may be incorrect."/>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54755"/>
                    <a:stretch/>
                  </pic:blipFill>
                  <pic:spPr bwMode="auto">
                    <a:xfrm>
                      <a:off x="0" y="0"/>
                      <a:ext cx="2880000" cy="837476"/>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it-IT" w:eastAsia="it-IT"/>
        </w:rPr>
        <w:drawing>
          <wp:inline distT="0" distB="0" distL="0" distR="0" wp14:anchorId="4340C0D1" wp14:editId="3EF16A1F">
            <wp:extent cx="2875596" cy="807242"/>
            <wp:effectExtent l="0" t="0" r="0" b="0"/>
            <wp:docPr id="897210788" name="Imagen 1" descr="Imagen que contiene reloj, objeto, texto, seña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10788" name="Imagen 1" descr="Imagen que contiene reloj, objeto, texto, señal&#10;&#10;El contenido generado por IA puede ser incorrecto."/>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t="58723" b="-2401"/>
                    <a:stretch/>
                  </pic:blipFill>
                  <pic:spPr bwMode="auto">
                    <a:xfrm>
                      <a:off x="0" y="0"/>
                      <a:ext cx="2880000" cy="808478"/>
                    </a:xfrm>
                    <a:prstGeom prst="rect">
                      <a:avLst/>
                    </a:prstGeom>
                    <a:noFill/>
                    <a:ln>
                      <a:noFill/>
                    </a:ln>
                    <a:extLst>
                      <a:ext uri="{53640926-AAD7-44D8-BBD7-CCE9431645EC}">
                        <a14:shadowObscured xmlns:a14="http://schemas.microsoft.com/office/drawing/2010/main"/>
                      </a:ext>
                    </a:extLst>
                  </pic:spPr>
                </pic:pic>
              </a:graphicData>
            </a:graphic>
          </wp:inline>
        </w:drawing>
      </w:r>
    </w:p>
    <w:p w14:paraId="5021C314" w14:textId="77777777" w:rsidR="005B21F8" w:rsidRDefault="005B21F8" w:rsidP="005B21F8">
      <w:pPr>
        <w:keepNext/>
        <w:tabs>
          <w:tab w:val="center" w:pos="1985"/>
          <w:tab w:val="center" w:pos="6663"/>
        </w:tabs>
      </w:pPr>
      <w:r>
        <w:tab/>
        <w:t>(a) ITS-G5</w:t>
      </w:r>
      <w:r>
        <w:tab/>
        <w:t>(b) LTE-V2X or NR V2X</w:t>
      </w:r>
    </w:p>
    <w:p w14:paraId="3A45BABF" w14:textId="4868B8BC" w:rsidR="005B21F8" w:rsidRPr="0027479C" w:rsidRDefault="005B21F8" w:rsidP="005B21F8">
      <w:pPr>
        <w:pStyle w:val="Caption"/>
        <w:jc w:val="center"/>
      </w:pPr>
      <w:bookmarkStart w:id="212" w:name="_Ref192489328"/>
      <w:r w:rsidRPr="00191F27">
        <w:t xml:space="preserve">Figure </w:t>
      </w:r>
      <w:r w:rsidR="00115785">
        <w:fldChar w:fldCharType="begin"/>
      </w:r>
      <w:r w:rsidR="00115785">
        <w:instrText xml:space="preserve"> SEQ Figure \* ARABIC </w:instrText>
      </w:r>
      <w:r w:rsidR="00115785">
        <w:fldChar w:fldCharType="separate"/>
      </w:r>
      <w:r w:rsidR="00115785">
        <w:rPr>
          <w:noProof/>
        </w:rPr>
        <w:t>11</w:t>
      </w:r>
      <w:r w:rsidR="00115785">
        <w:rPr>
          <w:noProof/>
        </w:rPr>
        <w:fldChar w:fldCharType="end"/>
      </w:r>
      <w:bookmarkEnd w:id="212"/>
      <w:r w:rsidRPr="00191F27">
        <w:t>:</w:t>
      </w:r>
      <w:r>
        <w:t xml:space="preserve"> Resources in time and frequency.</w:t>
      </w:r>
    </w:p>
    <w:p w14:paraId="5C6D1FAC" w14:textId="77777777" w:rsidR="00DB7D33" w:rsidRDefault="006E5DFD" w:rsidP="00DB7D33">
      <w:r>
        <w:t xml:space="preserve">This </w:t>
      </w:r>
      <w:r w:rsidR="005B21F8">
        <w:t xml:space="preserve">definition can be used also for the resources used to transmit a single message, although this requires mapping the message size with the resource use. Given that the channel used for a transmission depends on the message size and on parameters known at the access layer, one proposed solution is to have at the facilities layer one table per each ALI indicating the resources required to transmit a message of a given size. The table should have at least (i) one column indicating the message size and (ii) one column indicating the resources required for the transmission of a message of that size. </w:t>
      </w:r>
    </w:p>
    <w:p w14:paraId="73492BA5" w14:textId="760F1957" w:rsidR="00DB7D33" w:rsidRDefault="00DB7D33" w:rsidP="005B21F8">
      <w:r>
        <w:t>Using this table, the RM can calculate the resources it is using and apply procedures that require further work. As a simple example, if the facilities layer has a budget of 0.005</w:t>
      </w:r>
      <w:r w:rsidDel="006E5DFD">
        <w:t xml:space="preserve"> </w:t>
      </w:r>
      <w:r>
        <w:t xml:space="preserve">per second for an ALI group, and messages are generated every 100 ms on average, consuming in the selected ALI of that ALI group 0.0001, the RM knows that this flow consumes overall 10x0.0001=0.001, which is 1/5 of the available resources of the ALI group. </w:t>
      </w:r>
    </w:p>
    <w:p w14:paraId="2019FB1E" w14:textId="7D5DD8E0" w:rsidR="005B21F8" w:rsidRDefault="00DF4709" w:rsidP="005B21F8">
      <w:r>
        <w:t>An additional aspect to be considered is that t</w:t>
      </w:r>
      <w:r w:rsidR="003153A7">
        <w:t xml:space="preserve">he RM also needs </w:t>
      </w:r>
      <w:r>
        <w:t>indications on the performance expected when choosing among</w:t>
      </w:r>
      <w:r w:rsidR="003153A7">
        <w:t xml:space="preserve"> ALI</w:t>
      </w:r>
      <w:r>
        <w:t>s</w:t>
      </w:r>
      <w:r w:rsidR="003153A7">
        <w:t xml:space="preserve"> </w:t>
      </w:r>
      <w:r>
        <w:t>that</w:t>
      </w:r>
      <w:r w:rsidR="003153A7">
        <w:t xml:space="preserve"> imply different use</w:t>
      </w:r>
      <w:r>
        <w:t>s</w:t>
      </w:r>
      <w:r w:rsidR="003153A7">
        <w:t xml:space="preserve"> of resources. For example, an ALI corresponding to a lower MCS will use more resources than another ALI corresponding to </w:t>
      </w:r>
      <w:r>
        <w:t>a</w:t>
      </w:r>
      <w:r w:rsidR="003153A7">
        <w:t xml:space="preserve"> higher MCS, </w:t>
      </w:r>
      <w:r>
        <w:t xml:space="preserve">but the advantage is that </w:t>
      </w:r>
      <w:r w:rsidR="00DB7D33">
        <w:t xml:space="preserve">the transmission is more robust to noise and interference, which means that </w:t>
      </w:r>
      <w:r>
        <w:t>it is expected to provide more range</w:t>
      </w:r>
      <w:r w:rsidR="003153A7">
        <w:t xml:space="preserve">. For this scope, one possibility is to store per each ALI a reference range, which may be for example calculated </w:t>
      </w:r>
      <w:r>
        <w:t xml:space="preserve">as the </w:t>
      </w:r>
      <w:r w:rsidRPr="00DF4709">
        <w:t>maximum distance at which the error rate is lower than 10%</w:t>
      </w:r>
      <w:r>
        <w:t>,</w:t>
      </w:r>
      <w:r w:rsidRPr="00DF4709">
        <w:t xml:space="preserve"> assuming a Gaussian channel</w:t>
      </w:r>
      <w:r>
        <w:t>, absence of interference,</w:t>
      </w:r>
      <w:r w:rsidR="003153A7">
        <w:t xml:space="preserve"> and predefined settings for the transmission power and receiver characteristics. </w:t>
      </w:r>
      <w:r>
        <w:t xml:space="preserve">As </w:t>
      </w:r>
      <w:r w:rsidR="00DB7D33">
        <w:t xml:space="preserve">an </w:t>
      </w:r>
      <w:r w:rsidR="005B21F8">
        <w:t>example</w:t>
      </w:r>
      <w:r>
        <w:t xml:space="preserve">, let us </w:t>
      </w:r>
      <w:r w:rsidR="003153A7">
        <w:t xml:space="preserve">assume </w:t>
      </w:r>
      <w:r w:rsidR="005B21F8">
        <w:t xml:space="preserve">that </w:t>
      </w:r>
      <w:r>
        <w:t xml:space="preserve">there is one </w:t>
      </w:r>
      <w:r w:rsidR="005B21F8">
        <w:t xml:space="preserve">ALI group </w:t>
      </w:r>
      <w:r>
        <w:t xml:space="preserve">with two ALIs, ALI A and ALI B; the range of ALI A is 1 km and it requires </w:t>
      </w:r>
      <w:r w:rsidR="003153A7">
        <w:t xml:space="preserve">0.001 resources (defined as above discussed) </w:t>
      </w:r>
      <w:r w:rsidR="005B21F8">
        <w:t>to transmit a message of 800 bytes</w:t>
      </w:r>
      <w:r>
        <w:t>; the range of ALI B is 500 m and it requires 0.0005 resources to transmit the same message; given this information, the RM can decide if it is better to have a longer range but using more resources or the opposite.</w:t>
      </w:r>
      <w:r w:rsidR="005B21F8">
        <w:t xml:space="preserve"> </w:t>
      </w:r>
    </w:p>
    <w:p w14:paraId="29B440EC" w14:textId="4782373F" w:rsidR="005B21F8" w:rsidRDefault="005B21F8" w:rsidP="005B21F8">
      <w:r>
        <w:t xml:space="preserve">Even if further work is required, the definition of the described </w:t>
      </w:r>
      <w:r w:rsidR="00012775">
        <w:t xml:space="preserve">information </w:t>
      </w:r>
      <w:r>
        <w:t>per each ALI appears a relatively simple approach to abstract at the facilities layer the resources used by a transmission with a specific access layer configuration</w:t>
      </w:r>
      <w:r w:rsidR="00012775">
        <w:t xml:space="preserve"> and the performance expected</w:t>
      </w:r>
      <w:r>
        <w:t>. One point of attention that needs further elaboration is how to include in the calculations the impact of the overhead introduced by GeoNetworking and security.</w:t>
      </w:r>
    </w:p>
    <w:p w14:paraId="23921EFF" w14:textId="53F75B4A" w:rsidR="00F909C1" w:rsidRDefault="00F909C1" w:rsidP="00F140CF">
      <w:pPr>
        <w:pStyle w:val="Heading3"/>
        <w:numPr>
          <w:ilvl w:val="2"/>
          <w:numId w:val="11"/>
        </w:numPr>
        <w:ind w:left="1134"/>
      </w:pPr>
      <w:bookmarkStart w:id="213" w:name="_Toc197337032"/>
      <w:r>
        <w:t>Introducing a mechanism for the update of parameters</w:t>
      </w:r>
      <w:bookmarkEnd w:id="213"/>
    </w:p>
    <w:p w14:paraId="24122DCE" w14:textId="3B18055A" w:rsidR="00840FA4" w:rsidRPr="008601F5" w:rsidRDefault="00E0268A" w:rsidP="009D02A1">
      <w:r>
        <w:t>One feature that is not available in Release 1 and might be worth to introduce in Release 2 is the possibility to update the specific value for a limited number of parameters, such as the congestion control limit</w:t>
      </w:r>
      <w:r w:rsidR="00FC6D96">
        <w:t xml:space="preserve"> in each channel</w:t>
      </w:r>
      <w:r>
        <w:t>. Such updates would require the control from a central entity and a distribution to all ITS-S in a relatively short time, which in turn means that it would require the use of I2V links. For example, one option to be explored is to exploit the distribution of the certificates to also include possible parameter updates.</w:t>
      </w:r>
    </w:p>
    <w:p w14:paraId="31CAFAA7" w14:textId="4183F128" w:rsidR="002904C1" w:rsidRPr="00F54712" w:rsidRDefault="00AA4615" w:rsidP="00F140CF">
      <w:pPr>
        <w:pStyle w:val="Heading1"/>
        <w:numPr>
          <w:ilvl w:val="0"/>
          <w:numId w:val="11"/>
        </w:numPr>
        <w:ind w:left="1134"/>
      </w:pPr>
      <w:bookmarkStart w:id="214" w:name="_Toc188282479"/>
      <w:bookmarkStart w:id="215" w:name="_Toc188282745"/>
      <w:bookmarkStart w:id="216" w:name="_Toc188282951"/>
      <w:bookmarkStart w:id="217" w:name="_Toc188282480"/>
      <w:bookmarkStart w:id="218" w:name="_Toc188282746"/>
      <w:bookmarkStart w:id="219" w:name="_Toc188282952"/>
      <w:bookmarkStart w:id="220" w:name="_Toc188282481"/>
      <w:bookmarkStart w:id="221" w:name="_Toc188282747"/>
      <w:bookmarkStart w:id="222" w:name="_Toc188282953"/>
      <w:bookmarkStart w:id="223" w:name="_Ref179120269"/>
      <w:bookmarkStart w:id="224" w:name="_Toc197337033"/>
      <w:bookmarkEnd w:id="214"/>
      <w:bookmarkEnd w:id="215"/>
      <w:bookmarkEnd w:id="216"/>
      <w:bookmarkEnd w:id="217"/>
      <w:bookmarkEnd w:id="218"/>
      <w:bookmarkEnd w:id="219"/>
      <w:bookmarkEnd w:id="220"/>
      <w:bookmarkEnd w:id="221"/>
      <w:bookmarkEnd w:id="222"/>
      <w:r>
        <w:t>Application</w:t>
      </w:r>
      <w:r w:rsidR="00B0379E">
        <w:t xml:space="preserve"> Requirements</w:t>
      </w:r>
      <w:bookmarkEnd w:id="223"/>
      <w:bookmarkEnd w:id="224"/>
    </w:p>
    <w:p w14:paraId="52FEB966" w14:textId="77777777" w:rsidR="002904C1" w:rsidRDefault="002904C1" w:rsidP="00F140CF">
      <w:pPr>
        <w:pStyle w:val="Heading2"/>
        <w:numPr>
          <w:ilvl w:val="1"/>
          <w:numId w:val="11"/>
        </w:numPr>
        <w:ind w:left="1134"/>
      </w:pPr>
      <w:bookmarkStart w:id="225" w:name="_Toc197337034"/>
      <w:r>
        <w:t>Introduction</w:t>
      </w:r>
      <w:bookmarkEnd w:id="225"/>
    </w:p>
    <w:p w14:paraId="2E0745B8" w14:textId="47BCDAF6" w:rsidR="00581838" w:rsidRDefault="00B0379E" w:rsidP="00B0379E">
      <w:r>
        <w:t xml:space="preserve">To ensure that </w:t>
      </w:r>
      <w:r w:rsidR="00423D49">
        <w:t xml:space="preserve">active </w:t>
      </w:r>
      <w:r>
        <w:t>applications</w:t>
      </w:r>
      <w:r w:rsidR="00423D49">
        <w:t xml:space="preserve"> </w:t>
      </w:r>
      <w:r>
        <w:t xml:space="preserve">in an ITS-S are able to make appropriate decisions about when and how </w:t>
      </w:r>
      <w:r w:rsidR="00423D49">
        <w:t xml:space="preserve">to exchange </w:t>
      </w:r>
      <w:r>
        <w:t xml:space="preserve">information with other ITS-Ss, </w:t>
      </w:r>
      <w:r w:rsidR="009D1969">
        <w:t xml:space="preserve">they </w:t>
      </w:r>
      <w:r w:rsidR="00F65D25">
        <w:t>need</w:t>
      </w:r>
      <w:r>
        <w:t xml:space="preserve"> to be aware of the </w:t>
      </w:r>
      <w:r w:rsidR="009D1969">
        <w:t xml:space="preserve">available </w:t>
      </w:r>
      <w:r>
        <w:t xml:space="preserve">communication </w:t>
      </w:r>
      <w:r w:rsidR="00096944">
        <w:t xml:space="preserve">recourses </w:t>
      </w:r>
      <w:r>
        <w:t xml:space="preserve">at any given time. </w:t>
      </w:r>
      <w:r w:rsidR="009D1969">
        <w:t>I</w:t>
      </w:r>
      <w:r w:rsidR="00C76E7D">
        <w:t>n general</w:t>
      </w:r>
      <w:r w:rsidR="009D1969">
        <w:t>,</w:t>
      </w:r>
      <w:r w:rsidR="00C76E7D">
        <w:t xml:space="preserve"> more than </w:t>
      </w:r>
      <w:r w:rsidR="008677F0">
        <w:t>one</w:t>
      </w:r>
      <w:r w:rsidR="00C76E7D">
        <w:t xml:space="preserve"> application </w:t>
      </w:r>
      <w:r w:rsidR="009D1969">
        <w:t xml:space="preserve">can be </w:t>
      </w:r>
      <w:r w:rsidR="00C76E7D">
        <w:t>active in an ITS-S</w:t>
      </w:r>
      <w:r w:rsidR="009D1969">
        <w:t xml:space="preserve"> and each </w:t>
      </w:r>
      <w:r w:rsidR="00581838">
        <w:t>application do</w:t>
      </w:r>
      <w:r w:rsidR="009D1969">
        <w:t>es</w:t>
      </w:r>
      <w:r w:rsidR="00581838">
        <w:t xml:space="preserve"> not know </w:t>
      </w:r>
      <w:r w:rsidR="009D1969">
        <w:t xml:space="preserve">which are </w:t>
      </w:r>
      <w:r w:rsidR="00581838">
        <w:t xml:space="preserve">the static nor dynamic communication requirements from </w:t>
      </w:r>
      <w:r w:rsidR="009D1969">
        <w:t xml:space="preserve">the </w:t>
      </w:r>
      <w:r w:rsidR="00581838">
        <w:t xml:space="preserve">other applications. The number of active applications in Release 1 is limited but for Release 2 </w:t>
      </w:r>
      <w:r w:rsidR="009D1969">
        <w:t xml:space="preserve">they are </w:t>
      </w:r>
      <w:r w:rsidR="00581838">
        <w:t xml:space="preserve">significantly extended and therefore some resource management should be considered. </w:t>
      </w:r>
    </w:p>
    <w:p w14:paraId="0DDE8864" w14:textId="3273CBD3" w:rsidR="002109E3" w:rsidRDefault="00581838" w:rsidP="00B0379E">
      <w:r>
        <w:t xml:space="preserve">The message behaviour </w:t>
      </w:r>
      <w:r w:rsidR="009D1969">
        <w:t xml:space="preserve">is </w:t>
      </w:r>
      <w:r>
        <w:t xml:space="preserve">strongly dependent on the way the dissemination of messages is triggered and the </w:t>
      </w:r>
      <w:r w:rsidR="002109E3">
        <w:t xml:space="preserve">amount of </w:t>
      </w:r>
      <w:r>
        <w:t xml:space="preserve">information it needs to disseminate. </w:t>
      </w:r>
    </w:p>
    <w:p w14:paraId="6CA35019" w14:textId="7E95FAAD" w:rsidR="00581838" w:rsidRDefault="00704B51" w:rsidP="00B0379E">
      <w:r>
        <w:t xml:space="preserve">Further, dissemination of a specific message type could be triggered by many applications, while </w:t>
      </w:r>
      <w:r w:rsidR="009D1969">
        <w:t>others</w:t>
      </w:r>
      <w:r>
        <w:t xml:space="preserve"> </w:t>
      </w:r>
      <w:r w:rsidR="009D1969">
        <w:t>may be triggered by a single</w:t>
      </w:r>
      <w:r>
        <w:t xml:space="preserve"> application or </w:t>
      </w:r>
      <w:r w:rsidR="009D1969">
        <w:t xml:space="preserve">related to a specific </w:t>
      </w:r>
      <w:r>
        <w:t xml:space="preserve">use case. The DENM is typically a message type for which the message dissemination can be triggered by multiple applications, while </w:t>
      </w:r>
      <w:r w:rsidR="009D1969">
        <w:t xml:space="preserve">the </w:t>
      </w:r>
      <w:r>
        <w:t xml:space="preserve">CAM is a typical message type which is </w:t>
      </w:r>
      <w:r w:rsidR="009D1969">
        <w:t xml:space="preserve">related to a </w:t>
      </w:r>
      <w:r>
        <w:t>single use case, includ</w:t>
      </w:r>
      <w:r w:rsidR="00F01365">
        <w:t xml:space="preserve">ing </w:t>
      </w:r>
      <w:r>
        <w:t xml:space="preserve">message generating rules. The CAM is not triggered by applications but is a stand-alone functionality which has no interface to an application. Any resource management functionality most probably will only have to gather relevant management information for CAM dissemination </w:t>
      </w:r>
      <w:r w:rsidR="00F01365">
        <w:t>directly from the</w:t>
      </w:r>
      <w:r>
        <w:t xml:space="preserve"> CA</w:t>
      </w:r>
      <w:r w:rsidR="00F01365">
        <w:t>S</w:t>
      </w:r>
      <w:r>
        <w:t xml:space="preserve"> but </w:t>
      </w:r>
      <w:r w:rsidR="00F01365">
        <w:t>as the DENS only knows that it has to disseminate message when triggered, any resource management should in the first place get information from the triggering applications and possibly secondary from the DENS</w:t>
      </w:r>
      <w:r>
        <w:t>. In the following</w:t>
      </w:r>
      <w:r w:rsidR="005006EA">
        <w:t>,</w:t>
      </w:r>
      <w:r>
        <w:t xml:space="preserve"> for relevant </w:t>
      </w:r>
      <w:r w:rsidR="002109E3">
        <w:t>dissemination information</w:t>
      </w:r>
      <w:r w:rsidR="005006EA">
        <w:t>,</w:t>
      </w:r>
      <w:r w:rsidR="002109E3">
        <w:t xml:space="preserve"> reference is only made to applications while for several cases this could also be an ITS-S service.</w:t>
      </w:r>
    </w:p>
    <w:p w14:paraId="060F6A2F" w14:textId="0F369333" w:rsidR="00C76E7D" w:rsidRDefault="005006EA" w:rsidP="00B0379E">
      <w:r>
        <w:t xml:space="preserve">Since in </w:t>
      </w:r>
      <w:r w:rsidR="002109E3">
        <w:t xml:space="preserve">Release 2 </w:t>
      </w:r>
      <w:r w:rsidR="00F7579B">
        <w:t xml:space="preserve">implementations </w:t>
      </w:r>
      <w:r w:rsidR="002109E3">
        <w:t xml:space="preserve">the </w:t>
      </w:r>
      <w:r w:rsidR="00F7579B">
        <w:t xml:space="preserve">number of active applications is </w:t>
      </w:r>
      <w:r>
        <w:t xml:space="preserve">expected to </w:t>
      </w:r>
      <w:r w:rsidR="00F7579B">
        <w:t>signif</w:t>
      </w:r>
      <w:r w:rsidR="007F04E1">
        <w:t>ic</w:t>
      </w:r>
      <w:r w:rsidR="00F7579B">
        <w:t xml:space="preserve">antly </w:t>
      </w:r>
      <w:r>
        <w:t xml:space="preserve">increase, </w:t>
      </w:r>
      <w:r w:rsidR="00C76E7D">
        <w:t xml:space="preserve">it </w:t>
      </w:r>
      <w:r w:rsidR="008677F0">
        <w:t>could be</w:t>
      </w:r>
      <w:r w:rsidR="00C76E7D">
        <w:t xml:space="preserve"> not sufficient to </w:t>
      </w:r>
      <w:r w:rsidR="00F7579B">
        <w:t xml:space="preserve">just </w:t>
      </w:r>
      <w:r w:rsidR="00C76E7D">
        <w:t xml:space="preserve">have </w:t>
      </w:r>
      <w:r w:rsidR="005F7EE0">
        <w:t>the</w:t>
      </w:r>
      <w:r w:rsidR="00C76E7D">
        <w:t xml:space="preserve"> </w:t>
      </w:r>
      <w:r w:rsidR="00F7579B">
        <w:t xml:space="preserve">static </w:t>
      </w:r>
      <w:r w:rsidR="00C76E7D">
        <w:t>knowledge about the available resources.</w:t>
      </w:r>
      <w:r w:rsidR="005F7EE0">
        <w:t xml:space="preserve"> </w:t>
      </w:r>
      <w:r w:rsidR="00F7579B">
        <w:t xml:space="preserve">Having a generalized knowledge of the needs of all applications could allow </w:t>
      </w:r>
      <w:r w:rsidR="00096944">
        <w:t xml:space="preserve">a </w:t>
      </w:r>
      <w:r w:rsidR="005F7EE0">
        <w:t xml:space="preserve">resource management </w:t>
      </w:r>
      <w:r w:rsidR="00F7579B">
        <w:t>functionality to</w:t>
      </w:r>
      <w:r w:rsidR="005F7EE0">
        <w:t xml:space="preserve"> distribute the available resources between all applications. </w:t>
      </w:r>
      <w:r w:rsidR="00F7579B">
        <w:t>This could be detailed with d</w:t>
      </w:r>
      <w:r w:rsidR="005F7EE0">
        <w:t>ifferent granularity of the resource distribution, which could range from a binary switch-on/off of an application to a very fine allocation of resources to the applications</w:t>
      </w:r>
      <w:r w:rsidR="00096944">
        <w:t xml:space="preserve"> active at any given time</w:t>
      </w:r>
      <w:r w:rsidR="005F7EE0">
        <w:t xml:space="preserve">. </w:t>
      </w:r>
    </w:p>
    <w:p w14:paraId="1D8ACB4A" w14:textId="4CB2CB92" w:rsidR="001F74D2" w:rsidRDefault="001F74D2" w:rsidP="00B0379E">
      <w:r>
        <w:t xml:space="preserve">Different methods exist in the initial </w:t>
      </w:r>
      <w:r w:rsidR="00096944">
        <w:t xml:space="preserve">Release 2 </w:t>
      </w:r>
      <w:r>
        <w:t xml:space="preserve">ETSI MCO concept. </w:t>
      </w:r>
      <w:r w:rsidR="00DB40F9">
        <w:t xml:space="preserve">For the management of the resource allocation to the active applications in the ITS-S </w:t>
      </w:r>
      <w:r w:rsidR="000E0C5C">
        <w:t xml:space="preserve">several </w:t>
      </w:r>
      <w:r w:rsidR="00F649DF">
        <w:t>aspects</w:t>
      </w:r>
      <w:r w:rsidR="000E0C5C">
        <w:t xml:space="preserve"> must be considered: </w:t>
      </w:r>
    </w:p>
    <w:p w14:paraId="21D48548" w14:textId="11B8E721" w:rsidR="000E0C5C" w:rsidRDefault="000E0C5C" w:rsidP="00F140CF">
      <w:pPr>
        <w:pStyle w:val="ListParagraph"/>
        <w:numPr>
          <w:ilvl w:val="0"/>
          <w:numId w:val="16"/>
        </w:numPr>
      </w:pPr>
      <w:r>
        <w:t>the individual application</w:t>
      </w:r>
      <w:r w:rsidR="00096944">
        <w:t xml:space="preserve"> or ITS-S </w:t>
      </w:r>
      <w:r>
        <w:t>service communication requirements and thus resource needs</w:t>
      </w:r>
    </w:p>
    <w:p w14:paraId="53A1F2A3" w14:textId="290327E5" w:rsidR="000E0C5C" w:rsidRDefault="000E0C5C" w:rsidP="00F140CF">
      <w:pPr>
        <w:pStyle w:val="ListParagraph"/>
        <w:numPr>
          <w:ilvl w:val="0"/>
          <w:numId w:val="16"/>
        </w:numPr>
      </w:pPr>
      <w:r>
        <w:t>the application</w:t>
      </w:r>
      <w:r w:rsidR="00096944">
        <w:t xml:space="preserve"> </w:t>
      </w:r>
      <w:r>
        <w:t xml:space="preserve">priority </w:t>
      </w:r>
    </w:p>
    <w:p w14:paraId="54608F32" w14:textId="07D142DE" w:rsidR="000E0C5C" w:rsidRDefault="000E0C5C" w:rsidP="00F140CF">
      <w:pPr>
        <w:pStyle w:val="ListParagraph"/>
        <w:numPr>
          <w:ilvl w:val="0"/>
          <w:numId w:val="16"/>
        </w:numPr>
      </w:pPr>
      <w:r>
        <w:t>available resource management mechanisms</w:t>
      </w:r>
      <w:r w:rsidR="00053CEC">
        <w:t xml:space="preserve"> and </w:t>
      </w:r>
      <w:r>
        <w:t>granularity of the resource allocation</w:t>
      </w:r>
    </w:p>
    <w:p w14:paraId="48047B43" w14:textId="62961BDE" w:rsidR="000E0C5C" w:rsidRDefault="000E0C5C" w:rsidP="00F140CF">
      <w:pPr>
        <w:pStyle w:val="ListParagraph"/>
        <w:numPr>
          <w:ilvl w:val="0"/>
          <w:numId w:val="16"/>
        </w:numPr>
      </w:pPr>
      <w:r>
        <w:t xml:space="preserve">external resource limitation based </w:t>
      </w:r>
      <w:r w:rsidR="005006EA">
        <w:t>o</w:t>
      </w:r>
      <w:r>
        <w:t>n legal and regulatory restrictions</w:t>
      </w:r>
      <w:r w:rsidR="00053CEC">
        <w:t>.</w:t>
      </w:r>
    </w:p>
    <w:p w14:paraId="30B98218" w14:textId="4D00764E" w:rsidR="009C4928" w:rsidRDefault="00F649DF" w:rsidP="000E0C5C">
      <w:r>
        <w:t>The first three aspects are ITS</w:t>
      </w:r>
      <w:r w:rsidR="009C4928">
        <w:t>-S</w:t>
      </w:r>
      <w:r>
        <w:t xml:space="preserve"> internal (intra ITS) whereas the last </w:t>
      </w:r>
      <w:r w:rsidR="00FA494E">
        <w:t>one is external to</w:t>
      </w:r>
      <w:r w:rsidR="005006EA">
        <w:t xml:space="preserve"> the</w:t>
      </w:r>
      <w:r w:rsidR="00FA494E">
        <w:t xml:space="preserve"> ITS</w:t>
      </w:r>
      <w:r w:rsidR="00654AAE">
        <w:t>-S</w:t>
      </w:r>
      <w:r w:rsidR="00FA494E">
        <w:t xml:space="preserve"> (inter ITS). </w:t>
      </w:r>
    </w:p>
    <w:p w14:paraId="5646951B" w14:textId="2CE566C4" w:rsidR="000E0C5C" w:rsidRDefault="00FA494E" w:rsidP="000E0C5C">
      <w:r>
        <w:t xml:space="preserve">The </w:t>
      </w:r>
      <w:r w:rsidR="009C4928">
        <w:t xml:space="preserve">inter ITS </w:t>
      </w:r>
      <w:r>
        <w:t xml:space="preserve">aspect </w:t>
      </w:r>
      <w:r w:rsidR="009C4928">
        <w:t xml:space="preserve">is an ITS intercommunity aspect which requires legal agreement to ensure which applications are active when and where in spectrum. It </w:t>
      </w:r>
      <w:r>
        <w:t xml:space="preserve">will need a secure </w:t>
      </w:r>
      <w:r w:rsidR="00CB7101">
        <w:t xml:space="preserve">control mechanism to allow for an external input of the required control information. </w:t>
      </w:r>
    </w:p>
    <w:p w14:paraId="2CCAB606" w14:textId="77A42579" w:rsidR="00224A9B" w:rsidRDefault="009C4928" w:rsidP="000E0C5C">
      <w:r>
        <w:t xml:space="preserve">To ensure the robust operation </w:t>
      </w:r>
      <w:r w:rsidR="00224A9B">
        <w:t>o</w:t>
      </w:r>
      <w:r>
        <w:t xml:space="preserve">f C-ITS as </w:t>
      </w:r>
      <w:r w:rsidR="00224A9B">
        <w:t>defined by</w:t>
      </w:r>
      <w:r>
        <w:t xml:space="preserve"> the European Union (EU) </w:t>
      </w:r>
      <w:r w:rsidR="00224A9B">
        <w:t>in</w:t>
      </w:r>
      <w:r>
        <w:t xml:space="preserve"> the EU Directive </w:t>
      </w:r>
      <w:r w:rsidR="00224A9B" w:rsidRPr="00224A9B">
        <w:t>2010/40/EU</w:t>
      </w:r>
      <w:r w:rsidR="00224A9B">
        <w:t xml:space="preserve"> and its amendments, this EU Directive and related regulations should ensure robust operation of all C-ITS applications in the assigned C-ITS spectrum to ensure inter ITS robust operation and therefore be under regulatory control.</w:t>
      </w:r>
    </w:p>
    <w:p w14:paraId="23E1AF32" w14:textId="3B6FEE0B" w:rsidR="00127F74" w:rsidRPr="00B0379E" w:rsidRDefault="00127F74" w:rsidP="0045357B">
      <w:r>
        <w:t xml:space="preserve">In the following </w:t>
      </w:r>
      <w:r w:rsidR="004A3FC7">
        <w:t>clause</w:t>
      </w:r>
      <w:r>
        <w:t>s</w:t>
      </w:r>
      <w:r w:rsidR="005006EA">
        <w:t>,</w:t>
      </w:r>
      <w:r>
        <w:t xml:space="preserve"> the</w:t>
      </w:r>
      <w:r w:rsidR="00224A9B">
        <w:t xml:space="preserve"> intra </w:t>
      </w:r>
      <w:r w:rsidR="005006EA">
        <w:t xml:space="preserve">ITS </w:t>
      </w:r>
      <w:r>
        <w:t xml:space="preserve">aspects </w:t>
      </w:r>
      <w:r w:rsidR="00654AAE">
        <w:t>related to the way the dissemination of messages is triggered and the amount of information it needs to disseminate are</w:t>
      </w:r>
      <w:r>
        <w:t xml:space="preserve"> considered</w:t>
      </w:r>
      <w:r w:rsidR="00654AAE">
        <w:t xml:space="preserve"> for the known ITS applications and ITS-S services.</w:t>
      </w:r>
    </w:p>
    <w:p w14:paraId="76BDFF89" w14:textId="59021B3F" w:rsidR="00AA4615" w:rsidRDefault="00AA4615" w:rsidP="00F140CF">
      <w:pPr>
        <w:pStyle w:val="Heading2"/>
        <w:numPr>
          <w:ilvl w:val="1"/>
          <w:numId w:val="11"/>
        </w:numPr>
        <w:ind w:left="1134"/>
      </w:pPr>
      <w:bookmarkStart w:id="226" w:name="_Toc197337035"/>
      <w:r>
        <w:t>Applications and ITS-S services</w:t>
      </w:r>
      <w:bookmarkEnd w:id="226"/>
    </w:p>
    <w:p w14:paraId="721B53DE" w14:textId="07906193" w:rsidR="00127F74" w:rsidRPr="00B92FB9" w:rsidRDefault="00127F74" w:rsidP="00F140CF">
      <w:pPr>
        <w:pStyle w:val="Heading3"/>
        <w:numPr>
          <w:ilvl w:val="2"/>
          <w:numId w:val="11"/>
        </w:numPr>
        <w:ind w:left="1134"/>
      </w:pPr>
      <w:bookmarkStart w:id="227" w:name="_Ref182210495"/>
      <w:bookmarkStart w:id="228" w:name="_Toc197337036"/>
      <w:r>
        <w:t>Introduction</w:t>
      </w:r>
      <w:bookmarkEnd w:id="227"/>
      <w:bookmarkEnd w:id="228"/>
    </w:p>
    <w:p w14:paraId="6A8959D3" w14:textId="6825E0EC" w:rsidR="004D2310" w:rsidRDefault="00127F74" w:rsidP="00127F74">
      <w:r>
        <w:t xml:space="preserve">There are </w:t>
      </w:r>
      <w:r w:rsidR="00121B92">
        <w:t>a</w:t>
      </w:r>
      <w:r>
        <w:t xml:space="preserve">pplications which trigger </w:t>
      </w:r>
      <w:r w:rsidR="00CF4805">
        <w:t xml:space="preserve">event </w:t>
      </w:r>
      <w:r>
        <w:t xml:space="preserve">message </w:t>
      </w:r>
      <w:r w:rsidR="00681B3D">
        <w:t xml:space="preserve">generation </w:t>
      </w:r>
      <w:r>
        <w:t xml:space="preserve">and dissemination </w:t>
      </w:r>
      <w:r w:rsidR="00CF4805">
        <w:t>at the Facilities Layer by</w:t>
      </w:r>
      <w:r>
        <w:t xml:space="preserve"> ITS-S services </w:t>
      </w:r>
      <w:r w:rsidR="00CF4805">
        <w:t xml:space="preserve">such as the Decentralized Environmental Notification Service (DENS). There are also ITS-S </w:t>
      </w:r>
      <w:r w:rsidR="008516E8">
        <w:t>Message S</w:t>
      </w:r>
      <w:r w:rsidR="00CF4805">
        <w:t>ervices</w:t>
      </w:r>
      <w:r w:rsidR="008516E8">
        <w:t xml:space="preserve"> (ITS-S-MS)</w:t>
      </w:r>
      <w:r w:rsidR="00CF4805">
        <w:t xml:space="preserve"> like Cooperative Awareness Service (CAS) </w:t>
      </w:r>
      <w:r>
        <w:t xml:space="preserve">which include </w:t>
      </w:r>
      <w:r w:rsidR="00681B3D">
        <w:t xml:space="preserve">message </w:t>
      </w:r>
      <w:r>
        <w:t>generation rules themselves</w:t>
      </w:r>
      <w:r w:rsidR="005006EA">
        <w:t>,</w:t>
      </w:r>
      <w:r>
        <w:t xml:space="preserve"> by which </w:t>
      </w:r>
      <w:r w:rsidR="00681B3D">
        <w:t xml:space="preserve">they </w:t>
      </w:r>
      <w:r>
        <w:t>trigger the generation and dissemination of messages.</w:t>
      </w:r>
      <w:r w:rsidR="00121B92">
        <w:t xml:space="preserve"> </w:t>
      </w:r>
      <w:r w:rsidR="004D2310">
        <w:t xml:space="preserve">However, in future it can’t be excluded that </w:t>
      </w:r>
      <w:r w:rsidR="008516E8">
        <w:t xml:space="preserve">ITS-S-MS </w:t>
      </w:r>
      <w:r w:rsidR="004D2310">
        <w:t xml:space="preserve">such as CAS could be triggered as well. In general, message dissemination can be initiated by any application or </w:t>
      </w:r>
      <w:r w:rsidR="008516E8">
        <w:t>ITS-S-MS</w:t>
      </w:r>
      <w:r w:rsidR="004D2310">
        <w:t>.</w:t>
      </w:r>
    </w:p>
    <w:p w14:paraId="493EC288" w14:textId="34430505" w:rsidR="004D2310" w:rsidRDefault="004D2310" w:rsidP="00127F74">
      <w:r>
        <w:t>M</w:t>
      </w:r>
      <w:r w:rsidR="00121B92">
        <w:t>essages disseminat</w:t>
      </w:r>
      <w:r>
        <w:t>ion is depending</w:t>
      </w:r>
      <w:r w:rsidR="00121B92">
        <w:t xml:space="preserve"> on the communication possibilities</w:t>
      </w:r>
      <w:r>
        <w:t xml:space="preserve">, and therefore, the dissemination possibilities of one </w:t>
      </w:r>
      <w:r w:rsidR="008516E8">
        <w:t xml:space="preserve">ITS-S-MS </w:t>
      </w:r>
      <w:r>
        <w:t xml:space="preserve">depends on the operation of other disseminating </w:t>
      </w:r>
      <w:r w:rsidR="008516E8">
        <w:t>ITS-S-MS</w:t>
      </w:r>
      <w:r>
        <w:t xml:space="preserve">. In principle this dependency does not </w:t>
      </w:r>
      <w:r w:rsidR="0073414B">
        <w:t>accurse</w:t>
      </w:r>
      <w:r>
        <w:t xml:space="preserve"> when the channel occupation is not near to the set congestion limits, however, already ahead of the possibility of entering such state, it could be of interest to applications and </w:t>
      </w:r>
      <w:r w:rsidR="008516E8">
        <w:t xml:space="preserve">ITS-S-MS </w:t>
      </w:r>
      <w:r>
        <w:t xml:space="preserve">to be aware of this and make different choices when this would be applicable. </w:t>
      </w:r>
    </w:p>
    <w:p w14:paraId="6FAF9C02" w14:textId="6A9DAACF" w:rsidR="0073414B" w:rsidRDefault="0073414B" w:rsidP="00127F74">
      <w:r>
        <w:t xml:space="preserve">In principle, the understanding of the possible application message triggering and </w:t>
      </w:r>
      <w:r w:rsidR="008516E8">
        <w:t xml:space="preserve">ITS-S-MS </w:t>
      </w:r>
      <w:r>
        <w:t xml:space="preserve">dissemination intensions are required for the realization of resource management. Considering that applications communicate with the ITS-Services and that therefore the </w:t>
      </w:r>
      <w:r w:rsidR="008516E8">
        <w:t xml:space="preserve">ITS-S-MS </w:t>
      </w:r>
      <w:r>
        <w:t xml:space="preserve">know the real disseminations requirements, at present it must be assumed it is sufficient that the dynamic behaviour expectations of the </w:t>
      </w:r>
      <w:r w:rsidR="008516E8">
        <w:t xml:space="preserve">ITS-S-MS </w:t>
      </w:r>
      <w:r>
        <w:t xml:space="preserve">is communicated to the RM. The RM may also communicate with the applications for more general information but at present </w:t>
      </w:r>
      <w:r w:rsidR="008516E8">
        <w:t xml:space="preserve">this </w:t>
      </w:r>
      <w:r>
        <w:t>is not considered</w:t>
      </w:r>
      <w:r w:rsidR="008516E8">
        <w:t xml:space="preserve">. </w:t>
      </w:r>
    </w:p>
    <w:p w14:paraId="5BBC31E0" w14:textId="2A34E07A" w:rsidR="008516E8" w:rsidRDefault="008516E8" w:rsidP="00127F74">
      <w:r>
        <w:t xml:space="preserve">In </w:t>
      </w:r>
      <w:r w:rsidR="00183025">
        <w:t>general,</w:t>
      </w:r>
      <w:r>
        <w:t xml:space="preserve"> ITS-S-MSs dissemination behaviour can be categorised as follows in two types:</w:t>
      </w:r>
    </w:p>
    <w:p w14:paraId="1C8A3D8C" w14:textId="3DE040BD" w:rsidR="00121B92" w:rsidRDefault="00BD385D" w:rsidP="00F140CF">
      <w:pPr>
        <w:pStyle w:val="EX"/>
        <w:numPr>
          <w:ilvl w:val="0"/>
          <w:numId w:val="13"/>
        </w:numPr>
      </w:pPr>
      <w:r>
        <w:t xml:space="preserve">Broadcasted </w:t>
      </w:r>
      <w:r w:rsidR="00121B92">
        <w:t xml:space="preserve">Event type, such as </w:t>
      </w:r>
      <w:r w:rsidR="00ED33D2">
        <w:t>Decentralized Environmental Notification message (</w:t>
      </w:r>
      <w:r>
        <w:t>DEN</w:t>
      </w:r>
      <w:r w:rsidR="00ED33D2">
        <w:t xml:space="preserve">M) </w:t>
      </w:r>
      <w:r>
        <w:t>triggered by Applications</w:t>
      </w:r>
      <w:r w:rsidR="00ED33D2">
        <w:t xml:space="preserve"> (</w:t>
      </w:r>
      <w:r>
        <w:t>such as the Triggering Conditions as specified by the C2C-CC</w:t>
      </w:r>
      <w:r w:rsidR="00ED33D2">
        <w:t xml:space="preserve"> </w:t>
      </w:r>
      <w:r w:rsidR="00ED33D2">
        <w:fldChar w:fldCharType="begin"/>
      </w:r>
      <w:r w:rsidR="00ED33D2">
        <w:instrText xml:space="preserve"> REF C2C_CC_Profile \h </w:instrText>
      </w:r>
      <w:r w:rsidR="00ED33D2">
        <w:fldChar w:fldCharType="separate"/>
      </w:r>
      <w:r w:rsidR="00ED33D2" w:rsidRPr="00913ABF">
        <w:t>[i.</w:t>
      </w:r>
      <w:r w:rsidR="00ED33D2">
        <w:t>7</w:t>
      </w:r>
      <w:r w:rsidR="00ED33D2" w:rsidRPr="00913ABF">
        <w:t>]</w:t>
      </w:r>
      <w:r w:rsidR="00ED33D2">
        <w:fldChar w:fldCharType="end"/>
      </w:r>
      <w:r>
        <w:t>);</w:t>
      </w:r>
    </w:p>
    <w:p w14:paraId="10339BEE" w14:textId="7BCC66B3" w:rsidR="00BD385D" w:rsidRDefault="00BD385D" w:rsidP="00F140CF">
      <w:pPr>
        <w:pStyle w:val="ListParagraph"/>
        <w:numPr>
          <w:ilvl w:val="0"/>
          <w:numId w:val="13"/>
        </w:numPr>
      </w:pPr>
      <w:r>
        <w:t>Broadcasted Awareness</w:t>
      </w:r>
      <w:r w:rsidR="00143033">
        <w:t xml:space="preserve"> types such as</w:t>
      </w:r>
    </w:p>
    <w:p w14:paraId="0DA379AC" w14:textId="5102FB2A" w:rsidR="00BD385D" w:rsidRDefault="00BD385D" w:rsidP="00F140CF">
      <w:pPr>
        <w:pStyle w:val="ListParagraph"/>
        <w:numPr>
          <w:ilvl w:val="1"/>
          <w:numId w:val="13"/>
        </w:numPr>
      </w:pPr>
      <w:r>
        <w:t>Fixed Repetitive type, with fixed message size, such as MAPEM</w:t>
      </w:r>
      <w:r w:rsidR="00292492">
        <w:t xml:space="preserve">, </w:t>
      </w:r>
      <w:r>
        <w:t>IVI</w:t>
      </w:r>
      <w:r w:rsidR="00292492">
        <w:t xml:space="preserve"> and SAM</w:t>
      </w:r>
      <w:r>
        <w:t>;</w:t>
      </w:r>
    </w:p>
    <w:p w14:paraId="7441E10C" w14:textId="07D342E2" w:rsidR="00BD385D" w:rsidRDefault="005006EA" w:rsidP="00F140CF">
      <w:pPr>
        <w:pStyle w:val="ListParagraph"/>
        <w:numPr>
          <w:ilvl w:val="1"/>
          <w:numId w:val="13"/>
        </w:numPr>
      </w:pPr>
      <w:r>
        <w:t xml:space="preserve">Adaptable </w:t>
      </w:r>
      <w:r w:rsidR="00BD385D">
        <w:t xml:space="preserve">Repetitive type, with predictable but </w:t>
      </w:r>
      <w:r w:rsidR="00681B3D">
        <w:t>no predefined</w:t>
      </w:r>
      <w:r w:rsidR="00BD385D">
        <w:t xml:space="preserve"> message size, such as CAM, CPM</w:t>
      </w:r>
      <w:r w:rsidR="00292492">
        <w:t>, SPAT</w:t>
      </w:r>
      <w:r w:rsidR="00BD385D">
        <w:t>EM and</w:t>
      </w:r>
      <w:r w:rsidR="00681B3D">
        <w:t xml:space="preserve"> MIM/MVM.</w:t>
      </w:r>
    </w:p>
    <w:p w14:paraId="5DB851D9" w14:textId="77777777" w:rsidR="005006EA" w:rsidRDefault="005006EA" w:rsidP="00CF4805">
      <w:pPr>
        <w:pStyle w:val="ListParagraph"/>
        <w:ind w:left="1440"/>
      </w:pPr>
    </w:p>
    <w:p w14:paraId="513BC3AF" w14:textId="4EB98E6D" w:rsidR="00BD385D" w:rsidRDefault="00BD385D" w:rsidP="00F140CF">
      <w:pPr>
        <w:pStyle w:val="ListParagraph"/>
        <w:numPr>
          <w:ilvl w:val="0"/>
          <w:numId w:val="13"/>
        </w:numPr>
      </w:pPr>
      <w:r>
        <w:t xml:space="preserve">Broadcasted Steaming type, with fixed rate and fixed size but </w:t>
      </w:r>
      <w:r w:rsidR="005006EA" w:rsidRPr="005006EA">
        <w:t>continuous</w:t>
      </w:r>
      <w:r>
        <w:t>, such as video streaming.</w:t>
      </w:r>
    </w:p>
    <w:p w14:paraId="7384B488" w14:textId="49946E87" w:rsidR="00292492" w:rsidRDefault="00BD385D" w:rsidP="00127F74">
      <w:r>
        <w:t xml:space="preserve">From the here mentioned </w:t>
      </w:r>
      <w:r w:rsidR="008516E8">
        <w:t>ITS-S-MS</w:t>
      </w:r>
      <w:r w:rsidR="008516E8" w:rsidDel="008516E8">
        <w:t xml:space="preserve"> </w:t>
      </w:r>
      <w:r w:rsidR="00183025">
        <w:t>types of</w:t>
      </w:r>
      <w:r w:rsidR="008516E8">
        <w:t xml:space="preserve"> </w:t>
      </w:r>
      <w:r>
        <w:t>the</w:t>
      </w:r>
      <w:r w:rsidR="008516E8">
        <w:t xml:space="preserve"> dynamic behaviour have been identified in </w:t>
      </w:r>
      <w:r w:rsidR="00292492">
        <w:t xml:space="preserve">early simulation work </w:t>
      </w:r>
      <w:r w:rsidR="008516E8">
        <w:t xml:space="preserve">and tested in various </w:t>
      </w:r>
      <w:r w:rsidR="00292492">
        <w:t>evaluation</w:t>
      </w:r>
      <w:r w:rsidR="008516E8">
        <w:t xml:space="preserve"> projects</w:t>
      </w:r>
      <w:r w:rsidR="00143033">
        <w:t>. Combined input is delivering</w:t>
      </w:r>
      <w:r w:rsidR="00292492">
        <w:t xml:space="preserve"> sufficient information for resource management method consideration. Most </w:t>
      </w:r>
      <w:r w:rsidR="005006EA">
        <w:t xml:space="preserve">of the </w:t>
      </w:r>
      <w:r w:rsidR="00292492">
        <w:t xml:space="preserve">other </w:t>
      </w:r>
      <w:r w:rsidR="008516E8">
        <w:t>ITS-S-MS</w:t>
      </w:r>
      <w:r w:rsidR="008516E8" w:rsidDel="008516E8">
        <w:t xml:space="preserve"> </w:t>
      </w:r>
      <w:r w:rsidR="00292492">
        <w:t>fall into the recognized type categories and therefore do not need further investigation.</w:t>
      </w:r>
    </w:p>
    <w:p w14:paraId="3D830298" w14:textId="147ABD50" w:rsidR="00121B92" w:rsidRDefault="00292492" w:rsidP="00127F74">
      <w:r>
        <w:t xml:space="preserve">In the following </w:t>
      </w:r>
      <w:r w:rsidR="004A3FC7">
        <w:t>clause</w:t>
      </w:r>
      <w:r>
        <w:t xml:space="preserve">s the </w:t>
      </w:r>
      <w:r w:rsidR="008516E8">
        <w:t>ITS-S-MS</w:t>
      </w:r>
      <w:r w:rsidR="008516E8" w:rsidDel="008516E8">
        <w:t xml:space="preserve"> </w:t>
      </w:r>
      <w:r w:rsidR="008516E8">
        <w:t>identified</w:t>
      </w:r>
      <w:r>
        <w:t xml:space="preserve"> are further detailed with regards to their communication behaviour. </w:t>
      </w:r>
    </w:p>
    <w:p w14:paraId="4E198745" w14:textId="43BD5019" w:rsidR="00C9324B" w:rsidRDefault="00C9324B" w:rsidP="00127F74">
      <w:r>
        <w:tab/>
      </w:r>
      <w:r w:rsidR="00207469">
        <w:t>Note</w:t>
      </w:r>
      <w:r>
        <w:t xml:space="preserve">: The mentioned </w:t>
      </w:r>
      <w:r w:rsidR="008516E8">
        <w:t>ITS-S-MS</w:t>
      </w:r>
      <w:r w:rsidR="008516E8" w:rsidDel="008516E8">
        <w:t xml:space="preserve"> </w:t>
      </w:r>
      <w:r>
        <w:t>are specified by ETSI and ISO but their references are not provided here as their reference number can differ for difference releases.</w:t>
      </w:r>
    </w:p>
    <w:p w14:paraId="174DC0D0" w14:textId="38DFC54A" w:rsidR="00292492" w:rsidRPr="00B92FB9" w:rsidRDefault="00292492" w:rsidP="00F140CF">
      <w:pPr>
        <w:pStyle w:val="Heading3"/>
        <w:numPr>
          <w:ilvl w:val="2"/>
          <w:numId w:val="11"/>
        </w:numPr>
        <w:ind w:left="1134"/>
      </w:pPr>
      <w:bookmarkStart w:id="229" w:name="_Toc197337037"/>
      <w:r w:rsidRPr="00292492">
        <w:t xml:space="preserve">Decentralized Environmental Notification </w:t>
      </w:r>
      <w:r>
        <w:t xml:space="preserve">(DEN) </w:t>
      </w:r>
      <w:r w:rsidRPr="00292492">
        <w:t>Message</w:t>
      </w:r>
      <w:bookmarkEnd w:id="229"/>
    </w:p>
    <w:p w14:paraId="06E9A77E" w14:textId="37837226" w:rsidR="00292492" w:rsidRDefault="004B194D" w:rsidP="00292492">
      <w:r>
        <w:t xml:space="preserve">The DEN is an event message (as identified in </w:t>
      </w:r>
      <w:r w:rsidR="004A3FC7">
        <w:t>clause</w:t>
      </w:r>
      <w:r w:rsidR="00C9324B">
        <w:t xml:space="preserve"> </w:t>
      </w:r>
      <w:r>
        <w:fldChar w:fldCharType="begin"/>
      </w:r>
      <w:r>
        <w:instrText xml:space="preserve"> REF _Ref182210495 \r \h </w:instrText>
      </w:r>
      <w:r>
        <w:fldChar w:fldCharType="separate"/>
      </w:r>
      <w:r>
        <w:t>7.2.1</w:t>
      </w:r>
      <w:r>
        <w:fldChar w:fldCharType="end"/>
      </w:r>
      <w:r>
        <w:t xml:space="preserve">). </w:t>
      </w:r>
      <w:r w:rsidR="00BA2D4D">
        <w:t>Especially</w:t>
      </w:r>
      <w:r w:rsidR="006E70E9">
        <w:t xml:space="preserve"> </w:t>
      </w:r>
      <w:r w:rsidR="002B7F0B">
        <w:t>t</w:t>
      </w:r>
      <w:r>
        <w:t>he dissemination of DEN</w:t>
      </w:r>
      <w:r w:rsidR="006E70E9">
        <w:t>Ms</w:t>
      </w:r>
      <w:r>
        <w:t xml:space="preserve"> is triggered by one or more applications</w:t>
      </w:r>
      <w:r w:rsidR="00C9324B">
        <w:t xml:space="preserve"> which can support the realisation of several to many use cases and environmental scenarios. It can be expected that the extension of use cases and scenarios increase over time release</w:t>
      </w:r>
      <w:r w:rsidR="006E70E9">
        <w:t xml:space="preserve"> by release</w:t>
      </w:r>
      <w:r w:rsidR="00C9324B">
        <w:t>.</w:t>
      </w:r>
    </w:p>
    <w:p w14:paraId="3902A121" w14:textId="48BEF9C4" w:rsidR="002B7F0B" w:rsidRDefault="00F01365" w:rsidP="00292492">
      <w:r>
        <w:t xml:space="preserve">Depending on the safety impact of the specific use case, DENM dissemination </w:t>
      </w:r>
      <w:r w:rsidR="00817DD0">
        <w:t xml:space="preserve">via direct communication </w:t>
      </w:r>
      <w:r>
        <w:t xml:space="preserve">requires a specific priority over other message disseminations. Something to Inter ITS specified as it influences ITS and is not ITS-S specific. </w:t>
      </w:r>
      <w:r w:rsidR="008800E0">
        <w:t xml:space="preserve">In general, direct communications relates </w:t>
      </w:r>
      <w:r w:rsidR="006E70E9">
        <w:t xml:space="preserve">to </w:t>
      </w:r>
      <w:r w:rsidR="008800E0">
        <w:t>direct safety impact and Internet communications with indirect safety impact</w:t>
      </w:r>
      <w:r w:rsidR="002B7F0B">
        <w:t xml:space="preserve"> (</w:t>
      </w:r>
      <w:r w:rsidR="001C4444">
        <w:t>m</w:t>
      </w:r>
      <w:r w:rsidR="002B7F0B">
        <w:t>ore detail</w:t>
      </w:r>
      <w:r w:rsidR="001C4444">
        <w:t>s</w:t>
      </w:r>
      <w:r w:rsidR="002B7F0B">
        <w:t xml:space="preserve"> in </w:t>
      </w:r>
      <w:r w:rsidR="004A3FC7">
        <w:t>clause</w:t>
      </w:r>
      <w:r w:rsidR="002B7F0B">
        <w:t xml:space="preserve"> Ecosystems TR 103 903 </w:t>
      </w:r>
      <w:r w:rsidR="002B7F0B">
        <w:fldChar w:fldCharType="begin"/>
      </w:r>
      <w:r w:rsidR="002B7F0B">
        <w:instrText xml:space="preserve"> REF ETSI_TR103903 \h </w:instrText>
      </w:r>
      <w:r w:rsidR="002B7F0B">
        <w:fldChar w:fldCharType="separate"/>
      </w:r>
      <w:r w:rsidR="002B7F0B" w:rsidRPr="00913ABF">
        <w:t>[i.</w:t>
      </w:r>
      <w:r w:rsidR="002B7F0B">
        <w:t>9</w:t>
      </w:r>
      <w:r w:rsidR="002B7F0B" w:rsidRPr="00913ABF">
        <w:t>]</w:t>
      </w:r>
      <w:r w:rsidR="002B7F0B">
        <w:fldChar w:fldCharType="end"/>
      </w:r>
      <w:r w:rsidR="002B7F0B">
        <w:t>)</w:t>
      </w:r>
      <w:r w:rsidR="008800E0">
        <w:t xml:space="preserve">. </w:t>
      </w:r>
      <w:r w:rsidR="006E70E9">
        <w:t>While there are ITS use cases best serviced by either one of these communication solutions, there are also ITS use cases which can be serviced by both</w:t>
      </w:r>
      <w:r w:rsidR="002B7F0B">
        <w:t xml:space="preserve"> (see the Hybrid Solution by C-ROADs </w:t>
      </w:r>
      <w:r w:rsidR="002B7F0B">
        <w:fldChar w:fldCharType="begin"/>
      </w:r>
      <w:r w:rsidR="002B7F0B">
        <w:instrText xml:space="preserve"> REF C_Roads_Profile \h </w:instrText>
      </w:r>
      <w:r w:rsidR="002B7F0B">
        <w:fldChar w:fldCharType="separate"/>
      </w:r>
      <w:r w:rsidR="002B7F0B" w:rsidRPr="00913ABF">
        <w:t>[i.</w:t>
      </w:r>
      <w:r w:rsidR="002B7F0B">
        <w:t>8</w:t>
      </w:r>
      <w:r w:rsidR="002B7F0B" w:rsidRPr="00913ABF">
        <w:t>]</w:t>
      </w:r>
      <w:r w:rsidR="002B7F0B">
        <w:fldChar w:fldCharType="end"/>
      </w:r>
      <w:r w:rsidR="002B7F0B">
        <w:t>).</w:t>
      </w:r>
    </w:p>
    <w:p w14:paraId="1675816C" w14:textId="5938AD38" w:rsidR="00D83A33" w:rsidRDefault="002B7F0B" w:rsidP="00292492">
      <w:r>
        <w:t xml:space="preserve">One example is the </w:t>
      </w:r>
      <w:r w:rsidR="005B7D6D">
        <w:t>“End of Que</w:t>
      </w:r>
      <w:r w:rsidR="0091561B">
        <w:t>ue</w:t>
      </w:r>
      <w:r w:rsidR="005B7D6D">
        <w:t>”</w:t>
      </w:r>
      <w:r w:rsidR="005B7D6D" w:rsidRPr="005B7D6D">
        <w:t xml:space="preserve"> </w:t>
      </w:r>
      <w:r w:rsidR="005B7D6D">
        <w:t>use case</w:t>
      </w:r>
      <w:r>
        <w:t>. For this use case</w:t>
      </w:r>
      <w:r w:rsidR="008800E0">
        <w:t xml:space="preserve"> the information disseminated via direct communications can be used for a direct stop initiated by a driver of a vehicle or by the automated vehicle itself, while disseminated information via Internet communication will generally be used for rerouting of a trajectory and not predictably for a direct stop</w:t>
      </w:r>
      <w:r w:rsidR="0091561B">
        <w:t>,</w:t>
      </w:r>
      <w:r w:rsidR="008800E0">
        <w:t xml:space="preserve"> </w:t>
      </w:r>
      <w:r w:rsidR="0091561B">
        <w:t xml:space="preserve">thus </w:t>
      </w:r>
      <w:r w:rsidR="008800E0">
        <w:t xml:space="preserve">they are the same use case but seen as different scenarios. </w:t>
      </w:r>
      <w:r>
        <w:t xml:space="preserve">Information disseminated via direct communication (as there are more stringent requirements) can also be used for those use cases which require the same information but can also be serviced by Internet communications. </w:t>
      </w:r>
      <w:r w:rsidR="005B7D6D">
        <w:t>The communication requirements for the indirect scenario</w:t>
      </w:r>
      <w:r w:rsidR="008800E0">
        <w:t xml:space="preserve"> are out of scope of this document.</w:t>
      </w:r>
      <w:r w:rsidR="005B7D6D">
        <w:t xml:space="preserve"> </w:t>
      </w:r>
    </w:p>
    <w:p w14:paraId="79DA6BCF" w14:textId="70205B14" w:rsidR="00710B6D" w:rsidRDefault="0091561B" w:rsidP="00292492">
      <w:r>
        <w:t xml:space="preserve">In </w:t>
      </w:r>
      <w:r w:rsidR="00D83A33">
        <w:t>Release 1</w:t>
      </w:r>
      <w:r w:rsidR="00710B6D">
        <w:t>,</w:t>
      </w:r>
      <w:r w:rsidR="00D83A33">
        <w:t xml:space="preserve"> </w:t>
      </w:r>
      <w:r>
        <w:t xml:space="preserve">it was </w:t>
      </w:r>
      <w:r w:rsidR="005626DA">
        <w:t xml:space="preserve">identified that </w:t>
      </w:r>
      <w:r w:rsidR="00710B6D">
        <w:t xml:space="preserve">high priority should be </w:t>
      </w:r>
      <w:r>
        <w:t xml:space="preserve">provided to </w:t>
      </w:r>
      <w:r w:rsidR="00CF4805">
        <w:t>these types of messages</w:t>
      </w:r>
      <w:r w:rsidR="00710B6D">
        <w:t xml:space="preserve">. It was recognized that events, as they have </w:t>
      </w:r>
      <w:r>
        <w:t xml:space="preserve">immediate </w:t>
      </w:r>
      <w:r w:rsidR="00710B6D">
        <w:t>impact</w:t>
      </w:r>
      <w:r>
        <w:t>,</w:t>
      </w:r>
      <w:r w:rsidR="00710B6D">
        <w:t xml:space="preserve"> should be handled first compared to any other kind of other information dissemination. While for Release 1 only two levels were identified, it could happen that for later releases (</w:t>
      </w:r>
      <w:r w:rsidR="002B7F0B">
        <w:t xml:space="preserve">at present </w:t>
      </w:r>
      <w:r w:rsidR="00710B6D">
        <w:t xml:space="preserve">it has not been defined </w:t>
      </w:r>
      <w:r w:rsidR="002B7F0B">
        <w:t>for</w:t>
      </w:r>
      <w:r w:rsidR="00710B6D">
        <w:t xml:space="preserve"> Release 2) the number of priorities should be extended. </w:t>
      </w:r>
    </w:p>
    <w:p w14:paraId="2E54E40F" w14:textId="574E28E5" w:rsidR="00710B6D" w:rsidRDefault="00207469" w:rsidP="00710B6D">
      <w:pPr>
        <w:ind w:left="1136" w:hanging="856"/>
      </w:pPr>
      <w:r>
        <w:t>Note</w:t>
      </w:r>
      <w:r w:rsidR="00406B14">
        <w:t xml:space="preserve"> 1</w:t>
      </w:r>
      <w:r w:rsidR="00710B6D">
        <w:t>:</w:t>
      </w:r>
      <w:r w:rsidR="00710B6D">
        <w:tab/>
        <w:t xml:space="preserve">Extension of the priority levels is not only something of relevance for DEN but also for other services and therefore a generic extension should be </w:t>
      </w:r>
      <w:r w:rsidR="00096944">
        <w:t>considered</w:t>
      </w:r>
      <w:r w:rsidR="00710B6D">
        <w:t>.</w:t>
      </w:r>
    </w:p>
    <w:p w14:paraId="05A73F9D" w14:textId="61843638" w:rsidR="00406B14" w:rsidRDefault="00207469" w:rsidP="0045357B">
      <w:pPr>
        <w:ind w:left="1136" w:hanging="856"/>
      </w:pPr>
      <w:r>
        <w:t>Note</w:t>
      </w:r>
      <w:r w:rsidR="00406B14">
        <w:t xml:space="preserve"> 2:</w:t>
      </w:r>
      <w:r w:rsidR="00406B14">
        <w:tab/>
        <w:t>Release 1 operational equipment is based on IEEE 802.11</w:t>
      </w:r>
      <w:r w:rsidR="00406B14" w:rsidRPr="0045357B">
        <w:rPr>
          <w:vertAlign w:val="superscript"/>
        </w:rPr>
        <w:t>TM</w:t>
      </w:r>
      <w:r w:rsidR="00406B14">
        <w:t xml:space="preserve"> (2024) </w:t>
      </w:r>
      <w:r w:rsidR="00406B14">
        <w:fldChar w:fldCharType="begin"/>
      </w:r>
      <w:r w:rsidR="00406B14">
        <w:instrText xml:space="preserve"> REF IEEE_802_11 \h </w:instrText>
      </w:r>
      <w:r w:rsidR="00406B14">
        <w:fldChar w:fldCharType="separate"/>
      </w:r>
      <w:r w:rsidR="00406B14" w:rsidRPr="00913ABF">
        <w:t>[i.</w:t>
      </w:r>
      <w:r w:rsidR="00406B14">
        <w:t>10</w:t>
      </w:r>
      <w:r w:rsidR="00406B14" w:rsidRPr="00913ABF">
        <w:t>]</w:t>
      </w:r>
      <w:r w:rsidR="00406B14">
        <w:fldChar w:fldCharType="end"/>
      </w:r>
      <w:r w:rsidR="00406B14">
        <w:t xml:space="preserve"> which includes four </w:t>
      </w:r>
      <w:r w:rsidR="0091561B">
        <w:t xml:space="preserve">QoS </w:t>
      </w:r>
      <w:r w:rsidR="00406B14">
        <w:t>Traffic Classes (TCs). These TCs are directly coupled to the four priorities used at the Facilities Layer in C-ITS.</w:t>
      </w:r>
    </w:p>
    <w:p w14:paraId="7E500709" w14:textId="3C09DEF1" w:rsidR="00FE2BE7" w:rsidRDefault="002B7F0B" w:rsidP="00292492">
      <w:r>
        <w:t>At present two event</w:t>
      </w:r>
      <w:r w:rsidR="00FE2BE7">
        <w:t xml:space="preserve"> types can be recognized:</w:t>
      </w:r>
    </w:p>
    <w:p w14:paraId="13EE34FE" w14:textId="0CDC3FA2" w:rsidR="00FE2BE7" w:rsidRDefault="00FE2BE7" w:rsidP="00F140CF">
      <w:pPr>
        <w:pStyle w:val="ListParagraph"/>
        <w:numPr>
          <w:ilvl w:val="0"/>
          <w:numId w:val="17"/>
        </w:numPr>
      </w:pPr>
      <w:r>
        <w:t xml:space="preserve">An event which </w:t>
      </w:r>
      <w:r w:rsidR="0091561B">
        <w:t xml:space="preserve">was not planned, mostly identified by an automated functionality in the vehicle, such as </w:t>
      </w:r>
      <w:r>
        <w:t xml:space="preserve">a Slow Driving Vehicle (SDV). </w:t>
      </w:r>
      <w:r w:rsidR="0091561B">
        <w:t xml:space="preserve">This is a type of </w:t>
      </w:r>
      <w:r>
        <w:t xml:space="preserve">event which may just popup. </w:t>
      </w:r>
    </w:p>
    <w:p w14:paraId="2CE630B8" w14:textId="4B5C6F22" w:rsidR="00FE2BE7" w:rsidRDefault="00FE2BE7" w:rsidP="00F140CF">
      <w:pPr>
        <w:pStyle w:val="ListParagraph"/>
        <w:numPr>
          <w:ilvl w:val="0"/>
          <w:numId w:val="17"/>
        </w:numPr>
      </w:pPr>
      <w:r>
        <w:t xml:space="preserve">An event which </w:t>
      </w:r>
      <w:r w:rsidR="0091561B">
        <w:t xml:space="preserve">was planned, typically </w:t>
      </w:r>
      <w:r>
        <w:t>managed by authorities and switched on and off by humans</w:t>
      </w:r>
      <w:r w:rsidR="0091561B">
        <w:t>, such as a Roads Works Warning (RWW)</w:t>
      </w:r>
      <w:r>
        <w:t>.</w:t>
      </w:r>
    </w:p>
    <w:p w14:paraId="4E758ADE" w14:textId="15DF0A6E" w:rsidR="00FE2BE7" w:rsidRDefault="00FE2BE7" w:rsidP="00FE2BE7">
      <w:r>
        <w:t>While with the first type the dissemination of DENMs could take only a very short time</w:t>
      </w:r>
      <w:r w:rsidR="0091561B">
        <w:t>,</w:t>
      </w:r>
      <w:r>
        <w:t xml:space="preserve"> with the second type the disseminations of DENMs could take place for days or even month</w:t>
      </w:r>
      <w:r w:rsidR="0091561B">
        <w:t xml:space="preserve">. This </w:t>
      </w:r>
      <w:r w:rsidR="00FE6587">
        <w:t xml:space="preserve">time related aspect is </w:t>
      </w:r>
      <w:r w:rsidR="0091561B">
        <w:t xml:space="preserve">indeed </w:t>
      </w:r>
      <w:r w:rsidR="00FE6587">
        <w:t>the only difference</w:t>
      </w:r>
      <w:r w:rsidR="0091561B">
        <w:t>,</w:t>
      </w:r>
      <w:r w:rsidR="00FE6587">
        <w:t xml:space="preserve"> </w:t>
      </w:r>
      <w:r w:rsidR="0091561B">
        <w:t xml:space="preserve">since </w:t>
      </w:r>
      <w:r w:rsidR="00FE6587">
        <w:t xml:space="preserve">at the moment </w:t>
      </w:r>
      <w:r w:rsidR="00FC09CD">
        <w:t xml:space="preserve">both if </w:t>
      </w:r>
      <w:r w:rsidR="00FE6587">
        <w:t>an event is detected or activated</w:t>
      </w:r>
      <w:r w:rsidR="00FC09CD">
        <w:t xml:space="preserve">, the </w:t>
      </w:r>
      <w:r w:rsidR="00FE6587">
        <w:t>DENMs will be disseminated with a repetition rate fitting the environment and the use case this is required for.</w:t>
      </w:r>
    </w:p>
    <w:p w14:paraId="6F5DD837" w14:textId="1F74B947" w:rsidR="003D1F83" w:rsidRDefault="003D1F83" w:rsidP="00292492">
      <w:r>
        <w:t>From a</w:t>
      </w:r>
      <w:r w:rsidR="00FC09CD">
        <w:t>n</w:t>
      </w:r>
      <w:r>
        <w:t xml:space="preserve"> ITS-S communication perspective, DENM dissemination is not application but use case dependent. </w:t>
      </w:r>
      <w:r w:rsidR="00FC09CD">
        <w:t xml:space="preserve">In general, an </w:t>
      </w:r>
      <w:r>
        <w:t xml:space="preserve">application does not </w:t>
      </w:r>
      <w:r w:rsidR="00FC09CD">
        <w:t xml:space="preserve">statically </w:t>
      </w:r>
      <w:r w:rsidR="00183025">
        <w:t>know</w:t>
      </w:r>
      <w:r>
        <w:t xml:space="preserve"> in advance what its communication needs are. Only dynamically</w:t>
      </w:r>
      <w:r w:rsidR="00FC09CD">
        <w:t>,</w:t>
      </w:r>
      <w:r>
        <w:t xml:space="preserve"> when a use case determines that it needs to disseminate DENMs</w:t>
      </w:r>
      <w:r w:rsidR="00FC09CD">
        <w:t>,</w:t>
      </w:r>
      <w:r>
        <w:t xml:space="preserve"> </w:t>
      </w:r>
      <w:r w:rsidR="00FC09CD">
        <w:t xml:space="preserve">the application </w:t>
      </w:r>
      <w:r>
        <w:t>can notify its needs</w:t>
      </w:r>
      <w:r w:rsidR="00FC09CD">
        <w:t xml:space="preserve"> in terms of resources</w:t>
      </w:r>
      <w:r>
        <w:t xml:space="preserve">. This is valid for both the managed </w:t>
      </w:r>
      <w:r w:rsidR="00183025">
        <w:t>and</w:t>
      </w:r>
      <w:r>
        <w:t xml:space="preserve"> not managed type of events.</w:t>
      </w:r>
    </w:p>
    <w:p w14:paraId="2F954DD0" w14:textId="40F16196" w:rsidR="003D1F83" w:rsidRDefault="003D1F83" w:rsidP="00292492">
      <w:r>
        <w:t>Possible parameter consideration for DENM</w:t>
      </w:r>
      <w:r w:rsidR="00070ED2">
        <w:t>:</w:t>
      </w:r>
    </w:p>
    <w:p w14:paraId="02839EBC" w14:textId="7CB96470" w:rsidR="00070ED2" w:rsidRDefault="00070ED2" w:rsidP="00F140CF">
      <w:pPr>
        <w:pStyle w:val="ListParagraph"/>
        <w:numPr>
          <w:ilvl w:val="0"/>
          <w:numId w:val="18"/>
        </w:numPr>
      </w:pPr>
      <w:r>
        <w:t>Application statistically (at the time of application activation (application registration))</w:t>
      </w:r>
    </w:p>
    <w:p w14:paraId="78529238" w14:textId="0BBCBFFF" w:rsidR="00CA2661" w:rsidRDefault="00CA2661" w:rsidP="00F140CF">
      <w:pPr>
        <w:pStyle w:val="ListParagraph"/>
        <w:numPr>
          <w:ilvl w:val="1"/>
          <w:numId w:val="18"/>
        </w:numPr>
      </w:pPr>
      <w:r>
        <w:t>Application indicator</w:t>
      </w:r>
      <w:r w:rsidR="001827A3">
        <w:t xml:space="preserve"> (internal for ITS-S)</w:t>
      </w:r>
    </w:p>
    <w:p w14:paraId="320991D3" w14:textId="4923636B" w:rsidR="00CA2661" w:rsidRDefault="00CA2661" w:rsidP="00F140CF">
      <w:pPr>
        <w:pStyle w:val="ListParagraph"/>
        <w:numPr>
          <w:ilvl w:val="1"/>
          <w:numId w:val="18"/>
        </w:numPr>
      </w:pPr>
      <w:r>
        <w:t>Number of use cases supported</w:t>
      </w:r>
      <w:r w:rsidR="001827A3">
        <w:t xml:space="preserve"> (internal for ITS-S)</w:t>
      </w:r>
    </w:p>
    <w:p w14:paraId="064C9300" w14:textId="4883056B" w:rsidR="00070ED2" w:rsidRDefault="00070ED2" w:rsidP="00F140CF">
      <w:pPr>
        <w:pStyle w:val="ListParagraph"/>
        <w:numPr>
          <w:ilvl w:val="1"/>
          <w:numId w:val="18"/>
        </w:numPr>
      </w:pPr>
      <w:r>
        <w:t>Expected Priority level</w:t>
      </w:r>
      <w:r w:rsidR="00CA2661">
        <w:t>(s) to be supported</w:t>
      </w:r>
    </w:p>
    <w:p w14:paraId="670EFFC6" w14:textId="302418E9" w:rsidR="00070ED2" w:rsidRDefault="00070ED2" w:rsidP="00F140CF">
      <w:pPr>
        <w:pStyle w:val="ListParagraph"/>
        <w:numPr>
          <w:ilvl w:val="1"/>
          <w:numId w:val="18"/>
        </w:numPr>
      </w:pPr>
      <w:r>
        <w:t xml:space="preserve">Expected </w:t>
      </w:r>
      <w:r w:rsidR="00F01365">
        <w:t xml:space="preserve">Access </w:t>
      </w:r>
      <w:r>
        <w:t>Technology and spectrum requirements (possibly including primary and secondary options)</w:t>
      </w:r>
    </w:p>
    <w:p w14:paraId="0B28B6C8" w14:textId="1261E2DE" w:rsidR="00070ED2" w:rsidRDefault="00070ED2" w:rsidP="00F140CF">
      <w:pPr>
        <w:pStyle w:val="ListParagraph"/>
        <w:numPr>
          <w:ilvl w:val="1"/>
          <w:numId w:val="18"/>
        </w:numPr>
      </w:pPr>
      <w:r>
        <w:t xml:space="preserve">Max message </w:t>
      </w:r>
      <w:r w:rsidR="006D6BD9">
        <w:t>generation</w:t>
      </w:r>
      <w:r>
        <w:t xml:space="preserve"> rate when activated</w:t>
      </w:r>
    </w:p>
    <w:p w14:paraId="232B174C" w14:textId="2F578246" w:rsidR="00070ED2" w:rsidRDefault="00070ED2" w:rsidP="00F140CF">
      <w:pPr>
        <w:pStyle w:val="ListParagraph"/>
        <w:numPr>
          <w:ilvl w:val="1"/>
          <w:numId w:val="18"/>
        </w:numPr>
      </w:pPr>
      <w:r>
        <w:t>Max message size when activated</w:t>
      </w:r>
    </w:p>
    <w:p w14:paraId="5F77BBD8" w14:textId="449BCB84" w:rsidR="003D1F83" w:rsidRDefault="00070ED2" w:rsidP="00F140CF">
      <w:pPr>
        <w:pStyle w:val="ListParagraph"/>
        <w:numPr>
          <w:ilvl w:val="0"/>
          <w:numId w:val="18"/>
        </w:numPr>
      </w:pPr>
      <w:r>
        <w:t>Application dynamically (based on activation of DENM dissemination cycle</w:t>
      </w:r>
      <w:r w:rsidR="00486BB9">
        <w:t xml:space="preserve"> (application registration))</w:t>
      </w:r>
    </w:p>
    <w:p w14:paraId="70603FDA" w14:textId="6BF31DA5" w:rsidR="00CA2661" w:rsidRDefault="00CA2661" w:rsidP="00F140CF">
      <w:pPr>
        <w:pStyle w:val="ListParagraph"/>
        <w:numPr>
          <w:ilvl w:val="1"/>
          <w:numId w:val="18"/>
        </w:numPr>
      </w:pPr>
      <w:r>
        <w:t>Application indicator</w:t>
      </w:r>
    </w:p>
    <w:p w14:paraId="2D76921B" w14:textId="76FB0F37" w:rsidR="00CA2661" w:rsidRDefault="00CA2661" w:rsidP="00F140CF">
      <w:pPr>
        <w:pStyle w:val="ListParagraph"/>
        <w:numPr>
          <w:ilvl w:val="1"/>
          <w:numId w:val="18"/>
        </w:numPr>
      </w:pPr>
      <w:r>
        <w:t>Use case indicator</w:t>
      </w:r>
    </w:p>
    <w:p w14:paraId="539C5CBC" w14:textId="7D3938A4" w:rsidR="00CA2661" w:rsidRDefault="00486BB9" w:rsidP="00F140CF">
      <w:pPr>
        <w:pStyle w:val="ListParagraph"/>
        <w:numPr>
          <w:ilvl w:val="1"/>
          <w:numId w:val="18"/>
        </w:numPr>
      </w:pPr>
      <w:r>
        <w:t>Dissemination i</w:t>
      </w:r>
      <w:r w:rsidR="00CA2661">
        <w:t>nitiation (Request)</w:t>
      </w:r>
    </w:p>
    <w:p w14:paraId="5EC8D6D2" w14:textId="77777777" w:rsidR="00CA2661" w:rsidRDefault="00CA2661" w:rsidP="00F140CF">
      <w:pPr>
        <w:pStyle w:val="ListParagraph"/>
        <w:numPr>
          <w:ilvl w:val="2"/>
          <w:numId w:val="18"/>
        </w:numPr>
      </w:pPr>
      <w:r>
        <w:t>Actual Priority of the cycle of DENMs to be disseminated</w:t>
      </w:r>
    </w:p>
    <w:p w14:paraId="59E62661" w14:textId="5B0EF468" w:rsidR="00CA2661" w:rsidRDefault="00CA2661" w:rsidP="00F140CF">
      <w:pPr>
        <w:pStyle w:val="ListParagraph"/>
        <w:numPr>
          <w:ilvl w:val="2"/>
          <w:numId w:val="18"/>
        </w:numPr>
      </w:pPr>
      <w:r>
        <w:t>Actual Technology and spectrum requirements (possibly including primary and secondary options)</w:t>
      </w:r>
    </w:p>
    <w:p w14:paraId="763089C6" w14:textId="504923E2" w:rsidR="00CA2661" w:rsidRDefault="00CA2661" w:rsidP="00F140CF">
      <w:pPr>
        <w:pStyle w:val="ListParagraph"/>
        <w:numPr>
          <w:ilvl w:val="2"/>
          <w:numId w:val="18"/>
        </w:numPr>
      </w:pPr>
      <w:r>
        <w:t xml:space="preserve">Real message </w:t>
      </w:r>
      <w:r w:rsidR="006D6BD9">
        <w:t>generation</w:t>
      </w:r>
      <w:r>
        <w:t xml:space="preserve"> rate </w:t>
      </w:r>
    </w:p>
    <w:p w14:paraId="3F225CE7" w14:textId="63E7C87A" w:rsidR="00CA2661" w:rsidRDefault="00CA2661" w:rsidP="00F140CF">
      <w:pPr>
        <w:pStyle w:val="ListParagraph"/>
        <w:numPr>
          <w:ilvl w:val="2"/>
          <w:numId w:val="18"/>
        </w:numPr>
      </w:pPr>
      <w:r>
        <w:t xml:space="preserve">Real message size </w:t>
      </w:r>
    </w:p>
    <w:p w14:paraId="6C6231C4" w14:textId="01E4367A" w:rsidR="00CA2661" w:rsidRDefault="00C11C23" w:rsidP="00F140CF">
      <w:pPr>
        <w:pStyle w:val="ListParagraph"/>
        <w:numPr>
          <w:ilvl w:val="2"/>
          <w:numId w:val="18"/>
        </w:numPr>
      </w:pPr>
      <w:r>
        <w:t>Expected start time of dissemination</w:t>
      </w:r>
    </w:p>
    <w:p w14:paraId="6730FF9B" w14:textId="36C11232" w:rsidR="00CA2661" w:rsidRDefault="00C11C23" w:rsidP="00F140CF">
      <w:pPr>
        <w:pStyle w:val="ListParagraph"/>
        <w:numPr>
          <w:ilvl w:val="2"/>
          <w:numId w:val="18"/>
        </w:numPr>
      </w:pPr>
      <w:r>
        <w:t xml:space="preserve">Expected termination time </w:t>
      </w:r>
    </w:p>
    <w:p w14:paraId="7E6C67E3" w14:textId="3960EFC7" w:rsidR="00CA2661" w:rsidRDefault="00486BB9" w:rsidP="00F140CF">
      <w:pPr>
        <w:pStyle w:val="ListParagraph"/>
        <w:numPr>
          <w:ilvl w:val="1"/>
          <w:numId w:val="18"/>
        </w:numPr>
      </w:pPr>
      <w:r>
        <w:t>Dissemination t</w:t>
      </w:r>
      <w:r w:rsidR="00CA2661">
        <w:t>ermination</w:t>
      </w:r>
    </w:p>
    <w:p w14:paraId="69B285FE" w14:textId="683646F8" w:rsidR="00CA2661" w:rsidRDefault="00CA2661" w:rsidP="00F140CF">
      <w:pPr>
        <w:pStyle w:val="ListParagraph"/>
        <w:numPr>
          <w:ilvl w:val="2"/>
          <w:numId w:val="18"/>
        </w:numPr>
      </w:pPr>
      <w:r>
        <w:t>Termination indicator</w:t>
      </w:r>
    </w:p>
    <w:p w14:paraId="56ACDD24" w14:textId="16E28244" w:rsidR="00CA2661" w:rsidRDefault="00207469" w:rsidP="00070ED2">
      <w:pPr>
        <w:ind w:left="1080" w:hanging="796"/>
      </w:pPr>
      <w:r>
        <w:t>Note</w:t>
      </w:r>
      <w:r w:rsidR="00070ED2">
        <w:t xml:space="preserve"> 1:</w:t>
      </w:r>
      <w:r w:rsidR="00CA2661">
        <w:tab/>
        <w:t>A dissemination cycle is considered to be the period in which a sequence of DENM with a specific rate are actively disseminated.</w:t>
      </w:r>
    </w:p>
    <w:p w14:paraId="3D789455" w14:textId="0FD28711" w:rsidR="00070ED2" w:rsidRDefault="00207469" w:rsidP="00070ED2">
      <w:pPr>
        <w:ind w:left="1080" w:hanging="796"/>
      </w:pPr>
      <w:r>
        <w:t>Note</w:t>
      </w:r>
      <w:r w:rsidR="00070ED2">
        <w:t xml:space="preserve"> 2:</w:t>
      </w:r>
      <w:r w:rsidR="00070ED2">
        <w:tab/>
        <w:t>At present</w:t>
      </w:r>
      <w:r w:rsidR="00FC09CD">
        <w:t>,</w:t>
      </w:r>
      <w:r w:rsidR="00070ED2">
        <w:t xml:space="preserve"> a constant rate and constant message size is considered for DENM. Further it is considered that applications realize use cases with a similar message dissemination behaviour.</w:t>
      </w:r>
    </w:p>
    <w:p w14:paraId="7D8A58CD" w14:textId="302AC9E6" w:rsidR="00486BB9" w:rsidRDefault="00207469" w:rsidP="00486BB9">
      <w:pPr>
        <w:ind w:left="1080" w:hanging="796"/>
      </w:pPr>
      <w:r>
        <w:t>Note</w:t>
      </w:r>
      <w:r w:rsidR="00CA2661">
        <w:t xml:space="preserve"> 3:</w:t>
      </w:r>
      <w:r w:rsidR="00CA2661">
        <w:tab/>
        <w:t>To allow any management of the DENM message as provided by several applications and their use cases</w:t>
      </w:r>
      <w:r w:rsidR="00FC09CD">
        <w:t>,</w:t>
      </w:r>
      <w:r w:rsidR="00CA2661">
        <w:t xml:space="preserve"> it should be clear to </w:t>
      </w:r>
      <w:r w:rsidR="00FC09CD">
        <w:t xml:space="preserve">the </w:t>
      </w:r>
      <w:r w:rsidR="00CA2661">
        <w:t xml:space="preserve">resource management which application/use case initiate DENM dissemination and therefore it is required to provide related DENMs with indicators </w:t>
      </w:r>
      <w:r w:rsidR="00FC09CD">
        <w:t xml:space="preserve">about </w:t>
      </w:r>
      <w:r w:rsidR="00CA2661">
        <w:t xml:space="preserve">which application/use case initiated the dissemination. As </w:t>
      </w:r>
      <w:r w:rsidR="00FC09CD">
        <w:t xml:space="preserve">a </w:t>
      </w:r>
      <w:r w:rsidR="00CA2661">
        <w:t>result</w:t>
      </w:r>
      <w:r w:rsidR="00FC09CD">
        <w:t>,</w:t>
      </w:r>
      <w:r w:rsidR="00CA2661">
        <w:t xml:space="preserve"> each DENM from a cycle needs to include all application dynamic information.</w:t>
      </w:r>
    </w:p>
    <w:p w14:paraId="2C46CB72" w14:textId="497E3CB4" w:rsidR="00292492" w:rsidRPr="00B92FB9" w:rsidRDefault="00292492" w:rsidP="00F140CF">
      <w:pPr>
        <w:pStyle w:val="Heading3"/>
        <w:numPr>
          <w:ilvl w:val="2"/>
          <w:numId w:val="11"/>
        </w:numPr>
        <w:ind w:left="1134"/>
      </w:pPr>
      <w:bookmarkStart w:id="230" w:name="_Toc197337038"/>
      <w:r>
        <w:t>Cooperative Awareness (CA) Message</w:t>
      </w:r>
      <w:bookmarkEnd w:id="230"/>
    </w:p>
    <w:p w14:paraId="40317B72" w14:textId="0346BC00" w:rsidR="00BD1438" w:rsidRDefault="008E3E3D" w:rsidP="00292492">
      <w:r>
        <w:t xml:space="preserve">The CAM is </w:t>
      </w:r>
      <w:r w:rsidR="0085367F">
        <w:t xml:space="preserve">a </w:t>
      </w:r>
      <w:r>
        <w:t xml:space="preserve">broadcast awareness message (as identified in </w:t>
      </w:r>
      <w:r w:rsidR="004A3FC7">
        <w:t>clause</w:t>
      </w:r>
      <w:r>
        <w:t xml:space="preserve"> </w:t>
      </w:r>
      <w:r>
        <w:fldChar w:fldCharType="begin"/>
      </w:r>
      <w:r>
        <w:instrText xml:space="preserve"> REF _Ref182210495 \r \h </w:instrText>
      </w:r>
      <w:r>
        <w:fldChar w:fldCharType="separate"/>
      </w:r>
      <w:r>
        <w:t>7.2.1</w:t>
      </w:r>
      <w:r>
        <w:fldChar w:fldCharType="end"/>
      </w:r>
      <w:r>
        <w:t>)</w:t>
      </w:r>
      <w:r w:rsidR="00BD1438">
        <w:t xml:space="preserve"> disseminated by an ITS-S which represents a </w:t>
      </w:r>
      <w:r w:rsidR="00486BB9">
        <w:t>road user</w:t>
      </w:r>
      <w:r w:rsidR="00BD1438">
        <w:t xml:space="preserve"> e.g., vehicle, truck, motorbike, </w:t>
      </w:r>
      <w:r w:rsidR="001C4444">
        <w:t>bicycle</w:t>
      </w:r>
      <w:r w:rsidR="00BD1438">
        <w:t xml:space="preserve"> or pedestrian. The CAM information provides information about the dynamic state of the represented road user. This information includes parameters such as location, time and dynamic parameters as speed and direction. </w:t>
      </w:r>
    </w:p>
    <w:p w14:paraId="450ACE81" w14:textId="1F082A20" w:rsidR="004D5E29" w:rsidRDefault="00D31307" w:rsidP="00292492">
      <w:r>
        <w:t>Since a</w:t>
      </w:r>
      <w:r w:rsidR="00BD1438">
        <w:t xml:space="preserve"> CAM only provides information about its own identified road user</w:t>
      </w:r>
      <w:r>
        <w:t>,</w:t>
      </w:r>
      <w:r w:rsidR="00BD1438">
        <w:t xml:space="preserve"> it </w:t>
      </w:r>
      <w:r w:rsidR="003816B2">
        <w:t>is considered as a single use case only</w:t>
      </w:r>
      <w:r w:rsidR="004D5E29">
        <w:t>.</w:t>
      </w:r>
    </w:p>
    <w:p w14:paraId="32F7B140" w14:textId="4AD81A0E" w:rsidR="00292492" w:rsidRDefault="008E3E3D" w:rsidP="00292492">
      <w:r>
        <w:t xml:space="preserve">As specified in </w:t>
      </w:r>
      <w:r w:rsidR="006C7861">
        <w:t xml:space="preserve">the </w:t>
      </w:r>
      <w:r>
        <w:t xml:space="preserve">CA </w:t>
      </w:r>
      <w:r w:rsidR="008516E8">
        <w:t>ITS-S-MS</w:t>
      </w:r>
      <w:r w:rsidR="008516E8" w:rsidDel="008516E8">
        <w:t xml:space="preserve"> </w:t>
      </w:r>
      <w:r>
        <w:t>specifications, the d</w:t>
      </w:r>
      <w:r w:rsidR="0086359C">
        <w:t xml:space="preserve">issemination has two specific characteristics. </w:t>
      </w:r>
    </w:p>
    <w:p w14:paraId="7F15A85A" w14:textId="18BC64BD" w:rsidR="0086359C" w:rsidRDefault="0086359C" w:rsidP="00F140CF">
      <w:pPr>
        <w:pStyle w:val="ListParagraph"/>
        <w:numPr>
          <w:ilvl w:val="0"/>
          <w:numId w:val="15"/>
        </w:numPr>
      </w:pPr>
      <w:r>
        <w:t xml:space="preserve">The message dissemination rate depends on the dynamic behaviour of the </w:t>
      </w:r>
      <w:r w:rsidR="00D31307">
        <w:t>station</w:t>
      </w:r>
      <w:r>
        <w:t>. In principle</w:t>
      </w:r>
      <w:r w:rsidR="00D31307">
        <w:t>,</w:t>
      </w:r>
      <w:r>
        <w:t xml:space="preserve"> it depends on the speed, acceleration and movement. Th</w:t>
      </w:r>
      <w:r w:rsidR="006C7861">
        <w:t xml:space="preserve">e dynamic dissemination behaviour is expected to depend on the type of represented road user and can differ for a vehicle compared to a </w:t>
      </w:r>
      <w:r w:rsidR="00D01BF3">
        <w:t>bike</w:t>
      </w:r>
      <w:r w:rsidR="006C7861">
        <w:t>.</w:t>
      </w:r>
    </w:p>
    <w:p w14:paraId="0933D6EC" w14:textId="6637B1E5" w:rsidR="0086359C" w:rsidRDefault="0086359C" w:rsidP="00F140CF">
      <w:pPr>
        <w:pStyle w:val="ListParagraph"/>
        <w:numPr>
          <w:ilvl w:val="0"/>
          <w:numId w:val="15"/>
        </w:numPr>
      </w:pPr>
      <w:r>
        <w:t xml:space="preserve">The information to be shared as part of the CAM includes static as well as very dynamic parameters. As it is not that relevant to exchange the static parameters too often, related information is shared not as often as </w:t>
      </w:r>
      <w:r w:rsidR="00D31307">
        <w:t xml:space="preserve">for </w:t>
      </w:r>
      <w:r>
        <w:t>the dynamic parameters</w:t>
      </w:r>
      <w:r w:rsidR="00D31307">
        <w:t>,</w:t>
      </w:r>
      <w:r>
        <w:t xml:space="preserve"> with the result that the disseminated message has a regular </w:t>
      </w:r>
      <w:r w:rsidR="00D31307">
        <w:t xml:space="preserve">but not constant </w:t>
      </w:r>
      <w:r>
        <w:t>message size.</w:t>
      </w:r>
    </w:p>
    <w:p w14:paraId="6B8B1FB1" w14:textId="10AE9634" w:rsidR="0086359C" w:rsidRDefault="0086359C" w:rsidP="0086359C">
      <w:r>
        <w:t xml:space="preserve">CAM transmission can </w:t>
      </w:r>
      <w:r w:rsidR="00D31307">
        <w:t xml:space="preserve">therefore </w:t>
      </w:r>
      <w:r>
        <w:t>be predictably estimated</w:t>
      </w:r>
      <w:r w:rsidR="006C7861">
        <w:t xml:space="preserve"> but depend on the environment (for vehicles</w:t>
      </w:r>
      <w:r w:rsidR="00D31307">
        <w:t>,</w:t>
      </w:r>
      <w:r w:rsidR="006C7861">
        <w:t xml:space="preserve"> it differs for urban, sub-urban and highway)</w:t>
      </w:r>
      <w:r>
        <w:t>. How much predictable</w:t>
      </w:r>
      <w:r w:rsidR="00D31307">
        <w:t>, it</w:t>
      </w:r>
      <w:r>
        <w:t xml:space="preserve"> depends on the intelligence of the system which disseminate</w:t>
      </w:r>
      <w:r w:rsidR="00FD4C3F">
        <w:t>s</w:t>
      </w:r>
      <w:r>
        <w:t xml:space="preserve"> </w:t>
      </w:r>
      <w:r w:rsidR="00D31307">
        <w:t xml:space="preserve">the </w:t>
      </w:r>
      <w:r>
        <w:t xml:space="preserve">CAMs. </w:t>
      </w:r>
      <w:r w:rsidR="00FD4C3F">
        <w:t>This can be stati</w:t>
      </w:r>
      <w:r w:rsidR="00D31307">
        <w:t xml:space="preserve">cally performed or done </w:t>
      </w:r>
      <w:r w:rsidR="00FD4C3F">
        <w:t>in various dynamic ways</w:t>
      </w:r>
      <w:r w:rsidR="00D31307">
        <w:t>,</w:t>
      </w:r>
      <w:r w:rsidR="006C7861">
        <w:t xml:space="preserve"> including </w:t>
      </w:r>
      <w:r w:rsidR="00D31307">
        <w:t xml:space="preserve">the use of </w:t>
      </w:r>
      <w:r w:rsidR="006C7861">
        <w:t>Artificial Intelligence (AI)</w:t>
      </w:r>
      <w:r w:rsidR="00FD4C3F">
        <w:t xml:space="preserve">. </w:t>
      </w:r>
    </w:p>
    <w:p w14:paraId="18352DA7" w14:textId="008B21F1" w:rsidR="006C7861" w:rsidRDefault="006C7861" w:rsidP="006C7861">
      <w:r>
        <w:t>Possible parameter consideration for CAM:</w:t>
      </w:r>
    </w:p>
    <w:p w14:paraId="4B251BFC" w14:textId="77777777" w:rsidR="006C7861" w:rsidRDefault="006C7861" w:rsidP="00F140CF">
      <w:pPr>
        <w:pStyle w:val="ListParagraph"/>
        <w:numPr>
          <w:ilvl w:val="0"/>
          <w:numId w:val="18"/>
        </w:numPr>
      </w:pPr>
      <w:r>
        <w:t>Application statistically (at the time of application activation (application registration))</w:t>
      </w:r>
    </w:p>
    <w:p w14:paraId="69AF74DA" w14:textId="41815367" w:rsidR="006C7861" w:rsidRDefault="006C7861" w:rsidP="00F140CF">
      <w:pPr>
        <w:pStyle w:val="ListParagraph"/>
        <w:numPr>
          <w:ilvl w:val="1"/>
          <w:numId w:val="18"/>
        </w:numPr>
      </w:pPr>
      <w:r>
        <w:t>Application indicator</w:t>
      </w:r>
      <w:r w:rsidR="001827A3">
        <w:t xml:space="preserve"> (internal for ITS-S)</w:t>
      </w:r>
    </w:p>
    <w:p w14:paraId="0B22B507" w14:textId="2E3525D9" w:rsidR="006C7861" w:rsidRDefault="006C7861" w:rsidP="00F140CF">
      <w:pPr>
        <w:pStyle w:val="ListParagraph"/>
        <w:numPr>
          <w:ilvl w:val="1"/>
          <w:numId w:val="18"/>
        </w:numPr>
      </w:pPr>
      <w:r>
        <w:t>Number of use cases supported (fixed = 1)</w:t>
      </w:r>
      <w:r w:rsidR="001827A3">
        <w:t xml:space="preserve"> (internal for ITS-S)</w:t>
      </w:r>
    </w:p>
    <w:p w14:paraId="4D877B40" w14:textId="77777777" w:rsidR="006C7861" w:rsidRDefault="006C7861" w:rsidP="00F140CF">
      <w:pPr>
        <w:pStyle w:val="ListParagraph"/>
        <w:numPr>
          <w:ilvl w:val="1"/>
          <w:numId w:val="18"/>
        </w:numPr>
      </w:pPr>
      <w:r>
        <w:t>Expected Priority level(s) to be supported</w:t>
      </w:r>
    </w:p>
    <w:p w14:paraId="61901872" w14:textId="77777777" w:rsidR="006C7861" w:rsidRDefault="006C7861" w:rsidP="00F140CF">
      <w:pPr>
        <w:pStyle w:val="ListParagraph"/>
        <w:numPr>
          <w:ilvl w:val="1"/>
          <w:numId w:val="18"/>
        </w:numPr>
      </w:pPr>
      <w:r>
        <w:t>Expected Technology and spectrum requirements (possibly including primary and secondary options)</w:t>
      </w:r>
    </w:p>
    <w:p w14:paraId="7006B137" w14:textId="4FD9D8FE" w:rsidR="006C7861" w:rsidRDefault="006C7861" w:rsidP="00F140CF">
      <w:pPr>
        <w:pStyle w:val="ListParagraph"/>
        <w:numPr>
          <w:ilvl w:val="1"/>
          <w:numId w:val="18"/>
        </w:numPr>
      </w:pPr>
      <w:r>
        <w:t xml:space="preserve">Maximum message </w:t>
      </w:r>
      <w:r w:rsidR="00FA5E53">
        <w:t>generation</w:t>
      </w:r>
      <w:r>
        <w:t xml:space="preserve"> rate </w:t>
      </w:r>
    </w:p>
    <w:p w14:paraId="47EAB831" w14:textId="73666422" w:rsidR="00D07696" w:rsidRDefault="006C7861" w:rsidP="00F140CF">
      <w:pPr>
        <w:pStyle w:val="ListParagraph"/>
        <w:numPr>
          <w:ilvl w:val="1"/>
          <w:numId w:val="18"/>
        </w:numPr>
      </w:pPr>
      <w:r>
        <w:t xml:space="preserve">Minimum message </w:t>
      </w:r>
      <w:r w:rsidR="00FA5E53">
        <w:t>generation</w:t>
      </w:r>
      <w:r>
        <w:t xml:space="preserve"> rate</w:t>
      </w:r>
    </w:p>
    <w:p w14:paraId="4BC98916" w14:textId="26CA2384" w:rsidR="006C7861" w:rsidRDefault="006C7861" w:rsidP="00F140CF">
      <w:pPr>
        <w:pStyle w:val="ListParagraph"/>
        <w:numPr>
          <w:ilvl w:val="1"/>
          <w:numId w:val="18"/>
        </w:numPr>
      </w:pPr>
      <w:r>
        <w:t>Max</w:t>
      </w:r>
      <w:r w:rsidR="001827A3">
        <w:t>imum</w:t>
      </w:r>
      <w:r>
        <w:t xml:space="preserve"> message size </w:t>
      </w:r>
    </w:p>
    <w:p w14:paraId="105446D0" w14:textId="09C79808" w:rsidR="006C7861" w:rsidRDefault="006C7861" w:rsidP="00F140CF">
      <w:pPr>
        <w:pStyle w:val="ListParagraph"/>
        <w:numPr>
          <w:ilvl w:val="1"/>
          <w:numId w:val="18"/>
        </w:numPr>
      </w:pPr>
      <w:r>
        <w:t>Minimum</w:t>
      </w:r>
      <w:r w:rsidR="001827A3">
        <w:t xml:space="preserve"> message size </w:t>
      </w:r>
    </w:p>
    <w:p w14:paraId="773E8B45" w14:textId="46382977" w:rsidR="004F54FC" w:rsidRDefault="004F54FC" w:rsidP="00F140CF">
      <w:pPr>
        <w:pStyle w:val="ListParagraph"/>
        <w:numPr>
          <w:ilvl w:val="1"/>
          <w:numId w:val="18"/>
        </w:numPr>
      </w:pPr>
      <w:r>
        <w:t>Distribution type</w:t>
      </w:r>
    </w:p>
    <w:p w14:paraId="0D9CDF72" w14:textId="32C76E56" w:rsidR="006C7861" w:rsidRDefault="006C7861" w:rsidP="00F140CF">
      <w:pPr>
        <w:pStyle w:val="ListParagraph"/>
        <w:numPr>
          <w:ilvl w:val="0"/>
          <w:numId w:val="18"/>
        </w:numPr>
      </w:pPr>
      <w:r>
        <w:t xml:space="preserve">Application dynamically (based on activation of </w:t>
      </w:r>
      <w:r w:rsidR="001827A3">
        <w:t>CAM</w:t>
      </w:r>
      <w:r>
        <w:t xml:space="preserve"> dissemination (application registration))</w:t>
      </w:r>
    </w:p>
    <w:p w14:paraId="5634D2B5" w14:textId="77777777" w:rsidR="006C7861" w:rsidRDefault="006C7861" w:rsidP="00F140CF">
      <w:pPr>
        <w:pStyle w:val="ListParagraph"/>
        <w:numPr>
          <w:ilvl w:val="1"/>
          <w:numId w:val="18"/>
        </w:numPr>
      </w:pPr>
      <w:r>
        <w:t>Application indicator</w:t>
      </w:r>
    </w:p>
    <w:p w14:paraId="43844FBB" w14:textId="49A2BF71" w:rsidR="006C7861" w:rsidRDefault="006C7861" w:rsidP="00F140CF">
      <w:pPr>
        <w:pStyle w:val="ListParagraph"/>
        <w:numPr>
          <w:ilvl w:val="1"/>
          <w:numId w:val="18"/>
        </w:numPr>
      </w:pPr>
      <w:r>
        <w:t>Use case indicator</w:t>
      </w:r>
      <w:r w:rsidR="001827A3">
        <w:t xml:space="preserve"> (fixed = 1)</w:t>
      </w:r>
    </w:p>
    <w:p w14:paraId="45F39AF1" w14:textId="3F7972E9" w:rsidR="006C7861" w:rsidRDefault="006C7861" w:rsidP="00F140CF">
      <w:pPr>
        <w:pStyle w:val="ListParagraph"/>
        <w:numPr>
          <w:ilvl w:val="1"/>
          <w:numId w:val="18"/>
        </w:numPr>
      </w:pPr>
      <w:r>
        <w:t>Dissemination initiation (</w:t>
      </w:r>
      <w:r w:rsidR="001827A3">
        <w:t>repeatedly based on environmental changes</w:t>
      </w:r>
      <w:r>
        <w:t>)</w:t>
      </w:r>
      <w:r w:rsidR="001827A3">
        <w:t xml:space="preserve"> can be repeated as long as needed.</w:t>
      </w:r>
    </w:p>
    <w:p w14:paraId="2D8BD982" w14:textId="64E46A76" w:rsidR="006C7861" w:rsidRDefault="006C7861" w:rsidP="00F140CF">
      <w:pPr>
        <w:pStyle w:val="ListParagraph"/>
        <w:numPr>
          <w:ilvl w:val="2"/>
          <w:numId w:val="18"/>
        </w:numPr>
      </w:pPr>
      <w:r>
        <w:t xml:space="preserve">Actual Priority of the cycle of </w:t>
      </w:r>
      <w:r w:rsidR="001827A3">
        <w:t>CAMs</w:t>
      </w:r>
      <w:r>
        <w:t xml:space="preserve"> to be disseminated</w:t>
      </w:r>
    </w:p>
    <w:p w14:paraId="69240E6A" w14:textId="77777777" w:rsidR="006C7861" w:rsidRDefault="006C7861" w:rsidP="00F140CF">
      <w:pPr>
        <w:pStyle w:val="ListParagraph"/>
        <w:numPr>
          <w:ilvl w:val="2"/>
          <w:numId w:val="18"/>
        </w:numPr>
      </w:pPr>
      <w:r>
        <w:t>Actual Technology and spectrum requirements (possibly including primary and secondary options)</w:t>
      </w:r>
    </w:p>
    <w:p w14:paraId="2749EF92" w14:textId="15FD7488" w:rsidR="006C7861" w:rsidRDefault="00182865" w:rsidP="00F140CF">
      <w:pPr>
        <w:pStyle w:val="ListParagraph"/>
        <w:numPr>
          <w:ilvl w:val="2"/>
          <w:numId w:val="18"/>
        </w:numPr>
      </w:pPr>
      <w:r>
        <w:t>Expected</w:t>
      </w:r>
      <w:r w:rsidR="006C7861">
        <w:t xml:space="preserve"> </w:t>
      </w:r>
      <w:r w:rsidR="00D07696">
        <w:t xml:space="preserve">average </w:t>
      </w:r>
      <w:r w:rsidR="006C7861">
        <w:t xml:space="preserve">message </w:t>
      </w:r>
      <w:r w:rsidR="006D6BD9">
        <w:t>generation</w:t>
      </w:r>
      <w:r w:rsidR="006C7861">
        <w:t xml:space="preserve"> rate </w:t>
      </w:r>
    </w:p>
    <w:p w14:paraId="6CB3A16E" w14:textId="79D4F234" w:rsidR="00D07696" w:rsidRDefault="00D07696" w:rsidP="00F140CF">
      <w:pPr>
        <w:pStyle w:val="ListParagraph"/>
        <w:numPr>
          <w:ilvl w:val="2"/>
          <w:numId w:val="18"/>
        </w:numPr>
      </w:pPr>
      <w:r>
        <w:t>Expected maximum message generation rate</w:t>
      </w:r>
    </w:p>
    <w:p w14:paraId="3FD73DC1" w14:textId="4401DBB4" w:rsidR="00D07696" w:rsidRDefault="00D07696" w:rsidP="00F140CF">
      <w:pPr>
        <w:pStyle w:val="ListParagraph"/>
        <w:numPr>
          <w:ilvl w:val="2"/>
          <w:numId w:val="18"/>
        </w:numPr>
      </w:pPr>
      <w:r>
        <w:t>Expected minimum message generation rate</w:t>
      </w:r>
    </w:p>
    <w:p w14:paraId="5A787F91" w14:textId="376C489E" w:rsidR="006C7861" w:rsidRDefault="00182865" w:rsidP="00F140CF">
      <w:pPr>
        <w:pStyle w:val="ListParagraph"/>
        <w:numPr>
          <w:ilvl w:val="2"/>
          <w:numId w:val="18"/>
        </w:numPr>
      </w:pPr>
      <w:r>
        <w:t>Expected</w:t>
      </w:r>
      <w:r w:rsidR="006C7861">
        <w:t xml:space="preserve"> </w:t>
      </w:r>
      <w:r w:rsidR="00D07696">
        <w:t xml:space="preserve">average </w:t>
      </w:r>
      <w:r w:rsidR="006C7861">
        <w:t xml:space="preserve">message size </w:t>
      </w:r>
    </w:p>
    <w:p w14:paraId="6B06E17A" w14:textId="0BB76D85" w:rsidR="00D07696" w:rsidRDefault="00D07696" w:rsidP="00F140CF">
      <w:pPr>
        <w:pStyle w:val="ListParagraph"/>
        <w:numPr>
          <w:ilvl w:val="2"/>
          <w:numId w:val="18"/>
        </w:numPr>
      </w:pPr>
      <w:r>
        <w:t>Expected maximum message size</w:t>
      </w:r>
    </w:p>
    <w:p w14:paraId="748B33CE" w14:textId="32833951" w:rsidR="00D07696" w:rsidRDefault="00D07696" w:rsidP="00F140CF">
      <w:pPr>
        <w:pStyle w:val="ListParagraph"/>
        <w:numPr>
          <w:ilvl w:val="2"/>
          <w:numId w:val="18"/>
        </w:numPr>
      </w:pPr>
      <w:r>
        <w:t>Expected minimum message size</w:t>
      </w:r>
    </w:p>
    <w:p w14:paraId="64BD7E30" w14:textId="6C5A2178" w:rsidR="00CA5AF5" w:rsidRDefault="00CA5AF5" w:rsidP="00F140CF">
      <w:pPr>
        <w:pStyle w:val="ListParagraph"/>
        <w:numPr>
          <w:ilvl w:val="2"/>
          <w:numId w:val="18"/>
        </w:numPr>
      </w:pPr>
      <w:r>
        <w:t>Required operation limit message rate</w:t>
      </w:r>
    </w:p>
    <w:p w14:paraId="5BC2BB1C" w14:textId="77777777" w:rsidR="006C7861" w:rsidRDefault="006C7861" w:rsidP="00F140CF">
      <w:pPr>
        <w:pStyle w:val="ListParagraph"/>
        <w:numPr>
          <w:ilvl w:val="2"/>
          <w:numId w:val="18"/>
        </w:numPr>
      </w:pPr>
      <w:r>
        <w:t>Expected start time of dissemination</w:t>
      </w:r>
    </w:p>
    <w:p w14:paraId="58910E6B" w14:textId="77777777" w:rsidR="006C7861" w:rsidRDefault="006C7861" w:rsidP="00F140CF">
      <w:pPr>
        <w:pStyle w:val="ListParagraph"/>
        <w:numPr>
          <w:ilvl w:val="2"/>
          <w:numId w:val="18"/>
        </w:numPr>
      </w:pPr>
      <w:r>
        <w:t xml:space="preserve">Expected termination time </w:t>
      </w:r>
    </w:p>
    <w:p w14:paraId="2B82688A" w14:textId="739B975D" w:rsidR="001D403E" w:rsidRDefault="001D403E" w:rsidP="00F140CF">
      <w:pPr>
        <w:pStyle w:val="ListParagraph"/>
        <w:numPr>
          <w:ilvl w:val="2"/>
          <w:numId w:val="18"/>
        </w:numPr>
      </w:pPr>
      <w:r>
        <w:t>Distribution type</w:t>
      </w:r>
    </w:p>
    <w:p w14:paraId="4FE2F244" w14:textId="4A865E3B" w:rsidR="006C7861" w:rsidRDefault="006C7861" w:rsidP="00F140CF">
      <w:pPr>
        <w:pStyle w:val="ListParagraph"/>
        <w:numPr>
          <w:ilvl w:val="1"/>
          <w:numId w:val="18"/>
        </w:numPr>
      </w:pPr>
      <w:r>
        <w:t>Dissemination termination</w:t>
      </w:r>
      <w:r w:rsidR="001827A3">
        <w:t xml:space="preserve"> (for instance when the vehicle is parked)</w:t>
      </w:r>
    </w:p>
    <w:p w14:paraId="1DCCFC9B" w14:textId="77777777" w:rsidR="003F56A2" w:rsidRDefault="003F56A2" w:rsidP="00F140CF">
      <w:pPr>
        <w:pStyle w:val="Heading3"/>
        <w:numPr>
          <w:ilvl w:val="2"/>
          <w:numId w:val="11"/>
        </w:numPr>
        <w:ind w:left="1134"/>
      </w:pPr>
      <w:bookmarkStart w:id="231" w:name="_Toc197337039"/>
      <w:r>
        <w:t>Collective Perception (CP) Message</w:t>
      </w:r>
      <w:bookmarkEnd w:id="231"/>
    </w:p>
    <w:p w14:paraId="5C037F54" w14:textId="1D988E81" w:rsidR="003F56A2" w:rsidRDefault="003F56A2" w:rsidP="003F56A2">
      <w:r>
        <w:t xml:space="preserve">The CPM is a broadcasted awareness message (as identified in </w:t>
      </w:r>
      <w:r w:rsidR="004A3FC7">
        <w:t>clause</w:t>
      </w:r>
      <w:r>
        <w:t xml:space="preserve"> </w:t>
      </w:r>
      <w:r>
        <w:fldChar w:fldCharType="begin"/>
      </w:r>
      <w:r>
        <w:instrText xml:space="preserve"> REF _Ref182210495 \r \h </w:instrText>
      </w:r>
      <w:r>
        <w:fldChar w:fldCharType="separate"/>
      </w:r>
      <w:r>
        <w:t>7.2.1</w:t>
      </w:r>
      <w:r>
        <w:fldChar w:fldCharType="end"/>
      </w:r>
      <w:r>
        <w:t xml:space="preserve">) that is continuously generated with variable interval and message size. The variable interval comes from the fact that the CPM is only generated when certain rules are </w:t>
      </w:r>
      <w:r w:rsidR="00B01279">
        <w:t>satisfied and</w:t>
      </w:r>
      <w:r>
        <w:t xml:space="preserve"> not based on a predefined interval. The CPM includes information </w:t>
      </w:r>
      <w:r w:rsidR="001937EB">
        <w:t xml:space="preserve">recognized by the equipment from which the </w:t>
      </w:r>
      <w:r w:rsidR="00B01279">
        <w:t>ITS</w:t>
      </w:r>
      <w:r w:rsidR="001937EB">
        <w:t>-S</w:t>
      </w:r>
      <w:r w:rsidR="00B01279">
        <w:t xml:space="preserve"> </w:t>
      </w:r>
      <w:r w:rsidR="001937EB">
        <w:t xml:space="preserve">is part off. The disseminate CPM </w:t>
      </w:r>
      <w:r>
        <w:t>can include (a subset of) the objects perceived by the station, information about the sensing capabilities, and information about the perception regions.</w:t>
      </w:r>
    </w:p>
    <w:p w14:paraId="0D389C20" w14:textId="216E8859" w:rsidR="003F56A2" w:rsidRDefault="00B01279" w:rsidP="003F56A2">
      <w:r>
        <w:t>Present Collected Perception Service (CPS) specification specifies</w:t>
      </w:r>
      <w:r w:rsidR="003F56A2">
        <w:t xml:space="preserve"> a set of p</w:t>
      </w:r>
      <w:r w:rsidR="003F56A2" w:rsidRPr="002440E0">
        <w:t xml:space="preserve">erceived </w:t>
      </w:r>
      <w:r w:rsidR="003F56A2">
        <w:t>o</w:t>
      </w:r>
      <w:r w:rsidR="003F56A2" w:rsidRPr="002440E0">
        <w:t xml:space="preserve">bject </w:t>
      </w:r>
      <w:r w:rsidR="003F56A2">
        <w:t>i</w:t>
      </w:r>
      <w:r w:rsidR="003F56A2" w:rsidRPr="002440E0">
        <w:t xml:space="preserve">nclusion </w:t>
      </w:r>
      <w:r w:rsidR="003F56A2">
        <w:t xml:space="preserve">rules that significantly and dynamically influence the CPM size and generation rate (or interval). These rules are mainly based on the dynamics (e.g. position and speed) and type (e.g. VRUs vs vehicles) of the perceived objects. These object inclusion rules were extensively studied in </w:t>
      </w:r>
      <w:r>
        <w:t xml:space="preserve">related </w:t>
      </w:r>
      <w:r w:rsidR="003F56A2">
        <w:t xml:space="preserve">ETSI </w:t>
      </w:r>
      <w:r>
        <w:t xml:space="preserve">studies </w:t>
      </w:r>
      <w:r w:rsidR="003F56A2">
        <w:t xml:space="preserve">and in the scientific literature </w:t>
      </w:r>
      <w:r w:rsidR="002E71B7">
        <w:t xml:space="preserve">such as referred to </w:t>
      </w:r>
      <w:r w:rsidR="002E71B7">
        <w:fldChar w:fldCharType="begin"/>
      </w:r>
      <w:r w:rsidR="002E71B7">
        <w:instrText xml:space="preserve"> REF CooperativePerceptionConnectedAutomatedD \h </w:instrText>
      </w:r>
      <w:r w:rsidR="002E71B7">
        <w:fldChar w:fldCharType="separate"/>
      </w:r>
      <w:r w:rsidR="00206263">
        <w:t>[i.27]</w:t>
      </w:r>
      <w:r w:rsidR="002E71B7">
        <w:fldChar w:fldCharType="end"/>
      </w:r>
      <w:r w:rsidR="002E71B7">
        <w:t xml:space="preserve"> and </w:t>
      </w:r>
      <w:r w:rsidR="00BB0248">
        <w:fldChar w:fldCharType="begin"/>
      </w:r>
      <w:r w:rsidR="00BB0248">
        <w:instrText xml:space="preserve"> REF ImpactObjectDataInclusion \h </w:instrText>
      </w:r>
      <w:r w:rsidR="00BB0248">
        <w:fldChar w:fldCharType="separate"/>
      </w:r>
      <w:r w:rsidR="00BB0248">
        <w:t>[i.31]</w:t>
      </w:r>
      <w:r w:rsidR="00BB0248">
        <w:fldChar w:fldCharType="end"/>
      </w:r>
      <w:r w:rsidR="00BB0248">
        <w:t>.</w:t>
      </w:r>
      <w:r w:rsidR="003F56A2">
        <w:t xml:space="preserve"> The CPM generation rules also include the possibility to dynamically include in each CPM a variable number of objects taking into account their value or utility, which </w:t>
      </w:r>
      <w:r w:rsidR="002E71B7">
        <w:t xml:space="preserve">is </w:t>
      </w:r>
      <w:r w:rsidR="003F56A2">
        <w:t>referred to as Value of Information</w:t>
      </w:r>
      <w:r w:rsidR="002E71B7">
        <w:t xml:space="preserve"> (VoI) which </w:t>
      </w:r>
      <w:r w:rsidR="003F56A2">
        <w:t>refer</w:t>
      </w:r>
      <w:r w:rsidR="002E71B7">
        <w:t>s</w:t>
      </w:r>
      <w:r w:rsidR="003F56A2">
        <w:t xml:space="preserve"> to as redundancy in the scientific literature</w:t>
      </w:r>
      <w:r w:rsidR="007907E7">
        <w:t xml:space="preserve"> </w:t>
      </w:r>
      <w:r w:rsidR="007907E7">
        <w:fldChar w:fldCharType="begin"/>
      </w:r>
      <w:r w:rsidR="007907E7">
        <w:instrText xml:space="preserve"> REF EvaluationRedundancyMitigationRule \h </w:instrText>
      </w:r>
      <w:r w:rsidR="007907E7">
        <w:fldChar w:fldCharType="separate"/>
      </w:r>
      <w:r w:rsidR="00206263">
        <w:t>[i.28]</w:t>
      </w:r>
      <w:r w:rsidR="007907E7">
        <w:fldChar w:fldCharType="end"/>
      </w:r>
      <w:r w:rsidR="007907E7">
        <w:t xml:space="preserve"> and</w:t>
      </w:r>
      <w:r w:rsidR="003F56A2">
        <w:t xml:space="preserve"> </w:t>
      </w:r>
      <w:r w:rsidR="007907E7">
        <w:fldChar w:fldCharType="begin"/>
      </w:r>
      <w:r w:rsidR="007907E7">
        <w:instrText xml:space="preserve"> REF EvaluationInformationR_MitigationV2X_CP \h </w:instrText>
      </w:r>
      <w:r w:rsidR="007907E7">
        <w:fldChar w:fldCharType="separate"/>
      </w:r>
      <w:r w:rsidR="00206263">
        <w:t>[i.29]</w:t>
      </w:r>
      <w:r w:rsidR="007907E7">
        <w:fldChar w:fldCharType="end"/>
      </w:r>
      <w:r w:rsidR="007907E7">
        <w:t xml:space="preserve">. </w:t>
      </w:r>
      <w:r w:rsidR="003F56A2">
        <w:t xml:space="preserve">In addition, the object inclusion rules defined in </w:t>
      </w:r>
      <w:r w:rsidR="007907E7">
        <w:t xml:space="preserve">the CPS standard </w:t>
      </w:r>
      <w:r w:rsidR="003F56A2">
        <w:t xml:space="preserve">allow the adaptation of the CPM size (or number of perceived objects) and interval based on inputs from </w:t>
      </w:r>
      <w:r w:rsidR="00817DD0">
        <w:t>RM</w:t>
      </w:r>
      <w:r w:rsidR="003F56A2">
        <w:t xml:space="preserve">. This ensures that the resources are used </w:t>
      </w:r>
      <w:r w:rsidR="007907E7">
        <w:t>efficiently,</w:t>
      </w:r>
      <w:r w:rsidR="003F56A2">
        <w:t xml:space="preserve"> and the amount of information sent by the collective perception service fits into the radio channel.</w:t>
      </w:r>
    </w:p>
    <w:p w14:paraId="4FCA2C99" w14:textId="5CF1D3F0" w:rsidR="003F56A2" w:rsidRDefault="003F56A2" w:rsidP="003F56A2">
      <w:r>
        <w:t>A</w:t>
      </w:r>
      <w:r w:rsidR="007907E7">
        <w:t>s specified, t</w:t>
      </w:r>
      <w:r>
        <w:t xml:space="preserve">he sender can design its own rules about the inclusion of perceived objects (with </w:t>
      </w:r>
      <w:r w:rsidRPr="00926036">
        <w:rPr>
          <w:i/>
          <w:iCs/>
        </w:rPr>
        <w:t>ObjectInclusionConfig</w:t>
      </w:r>
      <w:r w:rsidRPr="00053F4E">
        <w:t xml:space="preserve"> </w:t>
      </w:r>
      <w:r>
        <w:t>flag</w:t>
      </w:r>
      <w:r w:rsidRPr="00053F4E">
        <w:t xml:space="preserve"> set to "0"</w:t>
      </w:r>
      <w:r>
        <w:t xml:space="preserve">), which affect the CPM size and rate. The CPM is considered to support multiple use cases as the perceived objects represent different traffic participant types and other types such as empty road slots. As different traffic participant types could represent different message sizes and generation rules, one CPM can include objects representing of traffic participant types of one kind and one other CPMs include objects representing of traffic participant types of one or more other kind. Also, for other reasons linking specific use cases to specific CPMs is advisable. This means not to take what the sensor can provide but what use cases to support a leading. For system flexibility and </w:t>
      </w:r>
      <w:r w:rsidR="007907E7">
        <w:t>robustness,</w:t>
      </w:r>
      <w:r>
        <w:t xml:space="preserve"> it is advice not to include all the perceived objects in a single CPM. One of the main reasons is to avoid reaching the maximum message </w:t>
      </w:r>
      <w:r w:rsidR="007907E7">
        <w:t>size and</w:t>
      </w:r>
      <w:r>
        <w:t xml:space="preserve"> requiring the allocation of more than 10 MHz bandwidth. In general, from a system perspective it is better to keep awareness messages small so there is flexibility of making system choices.</w:t>
      </w:r>
    </w:p>
    <w:p w14:paraId="1A1DD389" w14:textId="77777777" w:rsidR="003F56A2" w:rsidRDefault="003F56A2" w:rsidP="003F56A2">
      <w:r>
        <w:t>For the rest for CPM the same applies as for CAM.</w:t>
      </w:r>
    </w:p>
    <w:p w14:paraId="61D4F10B" w14:textId="2F145804" w:rsidR="001F4188" w:rsidRPr="00B92FB9" w:rsidRDefault="001F4188" w:rsidP="00F140CF">
      <w:pPr>
        <w:pStyle w:val="Heading3"/>
        <w:numPr>
          <w:ilvl w:val="2"/>
          <w:numId w:val="11"/>
        </w:numPr>
        <w:ind w:left="1134"/>
      </w:pPr>
      <w:bookmarkStart w:id="232" w:name="_Toc197337040"/>
      <w:r>
        <w:t>MIM and MVM</w:t>
      </w:r>
      <w:bookmarkEnd w:id="232"/>
    </w:p>
    <w:p w14:paraId="49DE0419" w14:textId="6CAF3D77" w:rsidR="001F4188" w:rsidRDefault="0071247D" w:rsidP="008F7C58">
      <w:r>
        <w:t>T</w:t>
      </w:r>
      <w:r w:rsidRPr="0071247D">
        <w:t>he Marshalling Infrastructure Message (MIM) and the Marshalling Vehicle Message (MVM)</w:t>
      </w:r>
      <w:r>
        <w:t xml:space="preserve"> are used by the A</w:t>
      </w:r>
      <w:r w:rsidR="00B46C34">
        <w:t>utomated Vehicle Marshalling (AVM)</w:t>
      </w:r>
      <w:r>
        <w:t xml:space="preserve"> service</w:t>
      </w:r>
      <w:r w:rsidR="00C34767">
        <w:t xml:space="preserve"> </w:t>
      </w:r>
      <w:r w:rsidR="008F7C58">
        <w:t>or</w:t>
      </w:r>
      <w:r w:rsidR="008F7C58" w:rsidRPr="008F7C58">
        <w:t xml:space="preserve"> low-speed remote controlled automated driving</w:t>
      </w:r>
      <w:r>
        <w:t xml:space="preserve"> (e.g. in parking areas or factories)</w:t>
      </w:r>
      <w:r w:rsidR="00B46C34">
        <w:t xml:space="preserve">. </w:t>
      </w:r>
      <w:r w:rsidR="002C3C86">
        <w:t>The MIMs are disseminated by the infrastructure and the MVM are disseminated by vehicles.</w:t>
      </w:r>
    </w:p>
    <w:p w14:paraId="0EFF8A9F" w14:textId="7315844F" w:rsidR="00FA4982" w:rsidRDefault="00FA4982" w:rsidP="008F7C58">
      <w:r>
        <w:t>Each MIM sent by the infrastructure can target up to 32 vehicles and therefore its size can significantly change over time depending on the number of vehicles being remotely controlled.</w:t>
      </w:r>
      <w:r w:rsidR="00646D86">
        <w:t xml:space="preserve"> The MVM sent by vehicles have optional elements that also generate messages with variable size, but its variation is significantly lower than the MIM.</w:t>
      </w:r>
    </w:p>
    <w:p w14:paraId="462EBF44" w14:textId="1C8FF6E4" w:rsidR="00F94A84" w:rsidRDefault="00A83742" w:rsidP="00A83742">
      <w:r>
        <w:t xml:space="preserve">A sequence of MIMs and MVMs are exchanged during the initialization of the AVM service. During the driving mode, the infrastructure and the vehicle must periodically exchange MIMs and MVMs for the correct operation of the service. To this aim, the AVM service </w:t>
      </w:r>
      <w:r w:rsidR="00F94A84" w:rsidRPr="00F94A84">
        <w:t xml:space="preserve">introduces a message generation </w:t>
      </w:r>
      <w:r>
        <w:t>based on</w:t>
      </w:r>
      <w:r w:rsidR="00F94A84" w:rsidRPr="00F94A84">
        <w:t xml:space="preserve"> a mix of periodic and event-driven messages. By default, AVM messages are generated continuously</w:t>
      </w:r>
      <w:r>
        <w:t xml:space="preserve"> at a </w:t>
      </w:r>
      <w:r w:rsidR="0084005B">
        <w:t>recommended</w:t>
      </w:r>
      <w:r>
        <w:t xml:space="preserve"> rate of 10 Hz</w:t>
      </w:r>
      <w:r w:rsidR="00F94A84" w:rsidRPr="00F94A84">
        <w:t>.</w:t>
      </w:r>
      <w:r w:rsidR="002F468B">
        <w:t xml:space="preserve"> </w:t>
      </w:r>
      <w:r w:rsidR="002F468B" w:rsidRPr="002F468B">
        <w:t xml:space="preserve">Additionally, the generation of MIMs and MVMs may be triggered by events, such as emergency stops. These events may cause the generation of one or more new </w:t>
      </w:r>
      <w:r w:rsidR="0062651A" w:rsidRPr="002F468B">
        <w:t>messages and</w:t>
      </w:r>
      <w:r w:rsidR="002F468B">
        <w:t xml:space="preserve"> thus disrupt</w:t>
      </w:r>
      <w:r w:rsidR="002F468B" w:rsidRPr="002F468B">
        <w:t xml:space="preserve"> the periodic pattern.</w:t>
      </w:r>
    </w:p>
    <w:p w14:paraId="5E7701CB" w14:textId="18C99A1D" w:rsidR="00292492" w:rsidRPr="00292492" w:rsidRDefault="0062651A" w:rsidP="0045357B">
      <w:r>
        <w:t>With regards to message dissemination behaviour, it can be expected that it has a more static behaviour as CAM but at high rates. It can be expected that the Parameter set is quite similar to</w:t>
      </w:r>
      <w:r w:rsidR="00AD468D">
        <w:t xml:space="preserve"> CAM/CPM</w:t>
      </w:r>
      <w:r>
        <w:t>.</w:t>
      </w:r>
    </w:p>
    <w:p w14:paraId="3A54D96A" w14:textId="084FC4D1" w:rsidR="00292492" w:rsidRPr="00B92FB9" w:rsidRDefault="00292492" w:rsidP="00F140CF">
      <w:pPr>
        <w:pStyle w:val="Heading3"/>
        <w:numPr>
          <w:ilvl w:val="2"/>
          <w:numId w:val="11"/>
        </w:numPr>
        <w:ind w:left="1134"/>
      </w:pPr>
      <w:bookmarkStart w:id="233" w:name="_Toc197337041"/>
      <w:r>
        <w:t xml:space="preserve">Signal Phase and Timing </w:t>
      </w:r>
      <w:r w:rsidRPr="00292492">
        <w:t>Message</w:t>
      </w:r>
      <w:r w:rsidR="00B760F4">
        <w:t xml:space="preserve"> (SPATEM)</w:t>
      </w:r>
      <w:bookmarkEnd w:id="233"/>
    </w:p>
    <w:p w14:paraId="108AFE6D" w14:textId="5BF4A67E" w:rsidR="0044656A" w:rsidRDefault="0044656A" w:rsidP="0062651A">
      <w:r>
        <w:t xml:space="preserve">SPATEMs are seamy static from which the message can have a slide variance in size. The timing of the SPATEM depends on the changes in the traffic-light behaviour. </w:t>
      </w:r>
      <w:r w:rsidR="00C34767">
        <w:t>Today’s</w:t>
      </w:r>
      <w:r w:rsidR="00B760F4">
        <w:t xml:space="preserve"> dynamically assigning the signal changing systems could update the sequence about ones every 0.1 second. So</w:t>
      </w:r>
      <w:r w:rsidR="00C34767">
        <w:t>,</w:t>
      </w:r>
      <w:r w:rsidR="00B760F4">
        <w:t xml:space="preserve"> updates of 10Hz </w:t>
      </w:r>
      <w:r w:rsidR="00183025">
        <w:t>are</w:t>
      </w:r>
      <w:r w:rsidR="00B760F4">
        <w:t xml:space="preserve"> not an exception. The packages however are not large and both size as update rates although dynamic </w:t>
      </w:r>
      <w:r w:rsidR="00C34767">
        <w:t>is</w:t>
      </w:r>
      <w:r w:rsidR="00B760F4">
        <w:t xml:space="preserve"> still quite predictable. With regards to channel use, only RSUs will transmit SPATEMs and therefore it can be expected that in a range of 200-400 meter only a very few RSU will transmit. After analysing the SPATEM, it can be recognized that the SPATEM can use the same parameter structure as the CAM and only will have different values</w:t>
      </w:r>
      <w:r>
        <w:t>.</w:t>
      </w:r>
    </w:p>
    <w:p w14:paraId="48B48FCA" w14:textId="06717293" w:rsidR="00C64FB0" w:rsidRPr="00B92FB9" w:rsidRDefault="00C64FB0" w:rsidP="00F140CF">
      <w:pPr>
        <w:pStyle w:val="Heading3"/>
        <w:numPr>
          <w:ilvl w:val="2"/>
          <w:numId w:val="11"/>
        </w:numPr>
        <w:ind w:left="1134"/>
      </w:pPr>
      <w:bookmarkStart w:id="234" w:name="_Toc197337042"/>
      <w:r>
        <w:t xml:space="preserve">MAP </w:t>
      </w:r>
      <w:r w:rsidRPr="00292492">
        <w:t>Message</w:t>
      </w:r>
      <w:r w:rsidR="00B760F4">
        <w:t xml:space="preserve"> (MAPEM)</w:t>
      </w:r>
      <w:bookmarkEnd w:id="234"/>
    </w:p>
    <w:p w14:paraId="4D4DB549" w14:textId="1500504C" w:rsidR="00B760F4" w:rsidRDefault="00C64FB0" w:rsidP="00C64FB0">
      <w:r>
        <w:t>The</w:t>
      </w:r>
      <w:r w:rsidR="0044656A">
        <w:t xml:space="preserve"> MAPEM messages are static messages which provide an overview over the road topology with all lane descriptions and stop lines etc. The size always stays the same and it is disseminated with a fixed </w:t>
      </w:r>
      <w:r w:rsidR="00B760F4">
        <w:t xml:space="preserve">lower </w:t>
      </w:r>
      <w:r w:rsidR="0044656A">
        <w:t>frequency</w:t>
      </w:r>
      <w:r w:rsidR="00B760F4">
        <w:t xml:space="preserve"> such as 1-2 Hz</w:t>
      </w:r>
      <w:r w:rsidR="0044656A">
        <w:t xml:space="preserve"> by RSUs.</w:t>
      </w:r>
      <w:r w:rsidR="00B760F4">
        <w:t xml:space="preserve"> As result for MAPEM the same is applicable, as for SPATEM and therefor the same parameter structure as for CAM can be used.</w:t>
      </w:r>
    </w:p>
    <w:p w14:paraId="7165ABED" w14:textId="0C1ECA9F" w:rsidR="00C64FB0" w:rsidRPr="00B92FB9" w:rsidRDefault="00C64FB0" w:rsidP="00F140CF">
      <w:pPr>
        <w:pStyle w:val="Heading3"/>
        <w:numPr>
          <w:ilvl w:val="2"/>
          <w:numId w:val="11"/>
        </w:numPr>
        <w:ind w:left="1134"/>
      </w:pPr>
      <w:bookmarkStart w:id="235" w:name="_Toc197337043"/>
      <w:r>
        <w:t xml:space="preserve">In Vehicle Information </w:t>
      </w:r>
      <w:r w:rsidRPr="00292492">
        <w:t>Message</w:t>
      </w:r>
      <w:r w:rsidR="00B760F4">
        <w:t xml:space="preserve"> (IVIM)</w:t>
      </w:r>
      <w:bookmarkEnd w:id="235"/>
    </w:p>
    <w:p w14:paraId="6481845A" w14:textId="13021621" w:rsidR="00C64FB0" w:rsidRDefault="00FE6276" w:rsidP="00C64FB0">
      <w:r>
        <w:t>The IVIM is a message which is intended to represent for instance a sign. A sign is expected to be static, like a speed limit sign. However, as we know road operators do change the prelimits depending on the situation on the road. Signs can therefore be static or semi static (changing ones in a while, in intervals of minimal 30 seconds).</w:t>
      </w:r>
    </w:p>
    <w:p w14:paraId="126E7EE9" w14:textId="7EE9EF8F" w:rsidR="00FE6276" w:rsidRDefault="00FE6276" w:rsidP="00C64FB0">
      <w:r>
        <w:t>IVIMs are awareness messages which can only be disseminated by authorities which could be RSUs but also special vehicles. As they are like the SPATEM and DENM generated by authority controlled ITS-Ss. The number of ITS-Ss within a certain vicinity will be limited. It can be assumed not to be more then 4. The impact on the channel use can be assumed minor.</w:t>
      </w:r>
    </w:p>
    <w:p w14:paraId="1B18AE9F" w14:textId="1D7A4AA5" w:rsidR="00FE6276" w:rsidRDefault="00FE6276" w:rsidP="00C64FB0">
      <w:r>
        <w:t xml:space="preserve">The size known and static, the rate may differ a bit depending on the road it is active on but may be a few Hertz. The </w:t>
      </w:r>
      <w:r w:rsidR="005F32C6">
        <w:t>dissemination</w:t>
      </w:r>
      <w:r>
        <w:t xml:space="preserve"> is timely predictable </w:t>
      </w:r>
      <w:r w:rsidR="005F32C6">
        <w:t>to allow a resource management functionality fulfil its task. It could be described through</w:t>
      </w:r>
      <w:r>
        <w:t xml:space="preserve"> the same parameter structure as for CAM can be used.</w:t>
      </w:r>
    </w:p>
    <w:p w14:paraId="240A9E65" w14:textId="721A448D" w:rsidR="00C64FB0" w:rsidRPr="00B92FB9" w:rsidRDefault="00C64FB0" w:rsidP="00F140CF">
      <w:pPr>
        <w:pStyle w:val="Heading3"/>
        <w:numPr>
          <w:ilvl w:val="2"/>
          <w:numId w:val="11"/>
        </w:numPr>
        <w:ind w:left="1134"/>
      </w:pPr>
      <w:bookmarkStart w:id="236" w:name="_Toc197337044"/>
      <w:r>
        <w:t xml:space="preserve">Service </w:t>
      </w:r>
      <w:r w:rsidR="00FC4F83">
        <w:t>Announcement</w:t>
      </w:r>
      <w:r>
        <w:t xml:space="preserve"> </w:t>
      </w:r>
      <w:r w:rsidRPr="00292492">
        <w:t>Message</w:t>
      </w:r>
      <w:r w:rsidR="00B760F4">
        <w:t xml:space="preserve"> (SAM)</w:t>
      </w:r>
      <w:bookmarkEnd w:id="236"/>
    </w:p>
    <w:p w14:paraId="7B5151A0" w14:textId="48B9AC7D" w:rsidR="005F32C6" w:rsidRDefault="005F32C6" w:rsidP="00C64FB0">
      <w:r>
        <w:t>At present from a message dissemination perspective, the SAM can be seen similar to the IVIM. The SAM is not yet considered to be used for the announcement of dynamic safety use cases, which could result in some additional dissemination requirements. At present this is not foreseen. SAM dissemination can be predicted sufficiently to allow resource management fulfil its task. It could be described through the same parameter structure as for CAM can be used.</w:t>
      </w:r>
    </w:p>
    <w:p w14:paraId="73E76315" w14:textId="43142B9C" w:rsidR="00B81435" w:rsidRPr="00B92FB9" w:rsidRDefault="00FE6276" w:rsidP="00F140CF">
      <w:pPr>
        <w:pStyle w:val="Heading3"/>
        <w:numPr>
          <w:ilvl w:val="2"/>
          <w:numId w:val="11"/>
        </w:numPr>
        <w:ind w:left="1134"/>
      </w:pPr>
      <w:bookmarkStart w:id="237" w:name="_Toc197337045"/>
      <w:r>
        <w:t>Vulnerable Road User Awareness Message (</w:t>
      </w:r>
      <w:r w:rsidR="00B81435">
        <w:t>VAM</w:t>
      </w:r>
      <w:r>
        <w:t>)</w:t>
      </w:r>
      <w:bookmarkEnd w:id="237"/>
    </w:p>
    <w:p w14:paraId="61565F13" w14:textId="53A41779" w:rsidR="005F32C6" w:rsidRDefault="00B81435" w:rsidP="00C64FB0">
      <w:r>
        <w:t>The</w:t>
      </w:r>
      <w:r w:rsidR="005F32C6">
        <w:t xml:space="preserve"> VAM is an awareness message similar as the CAM, </w:t>
      </w:r>
      <w:r w:rsidR="00183025">
        <w:t>its</w:t>
      </w:r>
      <w:r w:rsidR="005F32C6">
        <w:t xml:space="preserve"> size is smaller and rate more predictable and lower. Considering road scenarios, the number of present VRUs in an area could however be much more then Vehicles in the same area. The dynamic behaviour of VRUs is much slower th</w:t>
      </w:r>
      <w:r w:rsidR="00D41B3F">
        <w:t>a</w:t>
      </w:r>
      <w:r w:rsidR="005F32C6">
        <w:t>n that of Vehicles and probably therefore the channel use behaviour more predictable th</w:t>
      </w:r>
      <w:r w:rsidR="00B32EAA">
        <w:t>a</w:t>
      </w:r>
      <w:r w:rsidR="005F32C6">
        <w:t xml:space="preserve">n that of the </w:t>
      </w:r>
      <w:r w:rsidR="00D41B3F">
        <w:t>dissemination</w:t>
      </w:r>
      <w:r w:rsidR="005F32C6">
        <w:t xml:space="preserve"> of CAMs</w:t>
      </w:r>
      <w:r w:rsidR="00D41B3F">
        <w:t xml:space="preserve"> making it more predictable for any resource management.</w:t>
      </w:r>
      <w:r w:rsidR="005F32C6">
        <w:t xml:space="preserve"> </w:t>
      </w:r>
      <w:r w:rsidR="00D41B3F">
        <w:t>It could be described through the same parameter structure as for CAM can be used.</w:t>
      </w:r>
    </w:p>
    <w:p w14:paraId="444D4FA9" w14:textId="77777777" w:rsidR="005B21F8" w:rsidRDefault="005B21F8" w:rsidP="00F140CF">
      <w:pPr>
        <w:pStyle w:val="Heading2"/>
        <w:numPr>
          <w:ilvl w:val="1"/>
          <w:numId w:val="11"/>
        </w:numPr>
        <w:ind w:left="1134"/>
      </w:pPr>
      <w:bookmarkStart w:id="238" w:name="_Toc197337046"/>
      <w:r>
        <w:t>Types of ITS-S services from RM perspective</w:t>
      </w:r>
      <w:bookmarkEnd w:id="238"/>
    </w:p>
    <w:p w14:paraId="64F5DAB0" w14:textId="77777777" w:rsidR="005B21F8" w:rsidRDefault="005B21F8" w:rsidP="000E15DE">
      <w:r>
        <w:t>The envisioned RM solution will provide indications to the ITS-S services so that they can dynamically adapt the messages they generate in real time. To this aim, the ITS-S services could reduce the number of messages and or their size to follow the indications provided by the RM, while at the same time send additional messages to be offloaded to alternative channels. In this context, the following types of ITS-S services are identified:</w:t>
      </w:r>
    </w:p>
    <w:p w14:paraId="46D3790A" w14:textId="079CD9ED" w:rsidR="005B21F8" w:rsidRDefault="005B21F8" w:rsidP="00F140CF">
      <w:pPr>
        <w:pStyle w:val="ListParagraph"/>
        <w:numPr>
          <w:ilvl w:val="0"/>
          <w:numId w:val="27"/>
        </w:numPr>
      </w:pPr>
      <w:r>
        <w:t xml:space="preserve">Size adaptation. </w:t>
      </w:r>
      <w:r w:rsidR="00FA0A3D">
        <w:t>ITS-S s</w:t>
      </w:r>
      <w:r>
        <w:t>ervices that adapt the message size (dynamic inclusion of objects in CPMs or vehicles in MIM, or optional elements in any other service) but keep the message interval fixed.</w:t>
      </w:r>
    </w:p>
    <w:p w14:paraId="39D74C13" w14:textId="276111D2" w:rsidR="005B21F8" w:rsidRDefault="005B21F8" w:rsidP="00F140CF">
      <w:pPr>
        <w:pStyle w:val="ListParagraph"/>
        <w:numPr>
          <w:ilvl w:val="0"/>
          <w:numId w:val="27"/>
        </w:numPr>
      </w:pPr>
      <w:r>
        <w:t xml:space="preserve">Interval adaptation. </w:t>
      </w:r>
      <w:r w:rsidR="00FA0A3D">
        <w:t>ITS-S s</w:t>
      </w:r>
      <w:r>
        <w:t>ervices that adapt the interval of the message generation instead of adapting their size.</w:t>
      </w:r>
    </w:p>
    <w:p w14:paraId="554A4260" w14:textId="51F56C05" w:rsidR="005B21F8" w:rsidRDefault="005B21F8" w:rsidP="00F140CF">
      <w:pPr>
        <w:pStyle w:val="ListParagraph"/>
        <w:numPr>
          <w:ilvl w:val="0"/>
          <w:numId w:val="27"/>
        </w:numPr>
      </w:pPr>
      <w:r>
        <w:t xml:space="preserve">Size and interval adaptation. </w:t>
      </w:r>
      <w:r w:rsidR="00FA0A3D">
        <w:t>ITS-S s</w:t>
      </w:r>
      <w:r>
        <w:t>ervices that have the flexibility and intelligence to adapt both the message interval and size following the indications of RM.</w:t>
      </w:r>
    </w:p>
    <w:p w14:paraId="58AC8310" w14:textId="11040656" w:rsidR="00FA0A3D" w:rsidRDefault="00FA0A3D" w:rsidP="00FA0A3D">
      <w:r>
        <w:t>According to how the ITS-S services generate their messages, the following types are also envisioned:</w:t>
      </w:r>
    </w:p>
    <w:p w14:paraId="3FA81785" w14:textId="30DA7D03" w:rsidR="00FA0A3D" w:rsidRDefault="00850831" w:rsidP="00F140CF">
      <w:pPr>
        <w:pStyle w:val="ListParagraph"/>
        <w:numPr>
          <w:ilvl w:val="0"/>
          <w:numId w:val="29"/>
        </w:numPr>
      </w:pPr>
      <w:r>
        <w:t xml:space="preserve">Predefined </w:t>
      </w:r>
      <w:r w:rsidR="00FA0A3D">
        <w:t xml:space="preserve">rules. ITS-S services that have their own message generation rules that trigger the generation of new messages. When enough resources are available, they generate the necessary messages following these rules. </w:t>
      </w:r>
      <w:r>
        <w:t xml:space="preserve">IF the available resources are higher than the resources needed by these ITS-S services, they simply follow they predefined message generation rules. </w:t>
      </w:r>
      <w:r w:rsidR="00FA0A3D">
        <w:t>Examples are the CA and DEN services</w:t>
      </w:r>
      <w:r w:rsidR="00277237">
        <w:t xml:space="preserve"> (see </w:t>
      </w:r>
      <w:r w:rsidR="00277237">
        <w:fldChar w:fldCharType="begin"/>
      </w:r>
      <w:r w:rsidR="00277237">
        <w:instrText xml:space="preserve"> REF _Ref196896060 \h </w:instrText>
      </w:r>
      <w:r w:rsidR="00277237">
        <w:fldChar w:fldCharType="separate"/>
      </w:r>
      <w:r w:rsidR="00CF128B" w:rsidRPr="00191F27">
        <w:t xml:space="preserve">Figure </w:t>
      </w:r>
      <w:r w:rsidR="00CF128B">
        <w:rPr>
          <w:noProof/>
        </w:rPr>
        <w:t>12</w:t>
      </w:r>
      <w:r w:rsidR="00277237">
        <w:fldChar w:fldCharType="end"/>
      </w:r>
      <w:r w:rsidR="00277237">
        <w:t>a)</w:t>
      </w:r>
      <w:r w:rsidR="00FA0A3D">
        <w:t>.</w:t>
      </w:r>
    </w:p>
    <w:p w14:paraId="70B44475" w14:textId="54CEE0E2" w:rsidR="00FA0A3D" w:rsidRDefault="00FA0A3D" w:rsidP="00F140CF">
      <w:pPr>
        <w:pStyle w:val="ListParagraph"/>
        <w:numPr>
          <w:ilvl w:val="0"/>
          <w:numId w:val="29"/>
        </w:numPr>
      </w:pPr>
      <w:r>
        <w:t>Adaptive rules. ITS-S services that adapt the messages they generate to the resources available. The more resources available the more messages they can generate</w:t>
      </w:r>
      <w:r w:rsidR="00CB3B67">
        <w:t>, up to a certain limit that can be high</w:t>
      </w:r>
      <w:r>
        <w:t>.</w:t>
      </w:r>
      <w:r w:rsidR="00CB3B67">
        <w:t xml:space="preserve"> One</w:t>
      </w:r>
      <w:r>
        <w:t xml:space="preserve"> </w:t>
      </w:r>
      <w:r w:rsidR="00CB3B67">
        <w:t>e</w:t>
      </w:r>
      <w:r w:rsidR="00C6769B">
        <w:t>xample is the CP service, that could adapt the number of perceived objects and regions following the instructions of the RM</w:t>
      </w:r>
      <w:r w:rsidR="00277237">
        <w:t xml:space="preserve"> (see </w:t>
      </w:r>
      <w:r w:rsidR="00277237">
        <w:fldChar w:fldCharType="begin"/>
      </w:r>
      <w:r w:rsidR="00277237">
        <w:instrText xml:space="preserve"> REF _Ref196896060 \h </w:instrText>
      </w:r>
      <w:r w:rsidR="00277237">
        <w:fldChar w:fldCharType="separate"/>
      </w:r>
      <w:r w:rsidR="00CF128B" w:rsidRPr="00191F27">
        <w:t xml:space="preserve">Figure </w:t>
      </w:r>
      <w:r w:rsidR="00CF128B">
        <w:rPr>
          <w:noProof/>
        </w:rPr>
        <w:t>12</w:t>
      </w:r>
      <w:r w:rsidR="00277237">
        <w:fldChar w:fldCharType="end"/>
      </w:r>
      <w:r w:rsidR="00277237">
        <w:t>b)</w:t>
      </w:r>
      <w:r w:rsidR="00C6769B">
        <w:t>.</w:t>
      </w:r>
    </w:p>
    <w:p w14:paraId="030330E3" w14:textId="77295635" w:rsidR="00850831" w:rsidRDefault="00850831" w:rsidP="00850831">
      <w:pPr>
        <w:pStyle w:val="Caption"/>
        <w:ind w:left="360"/>
        <w:jc w:val="center"/>
      </w:pPr>
      <w:r>
        <w:rPr>
          <w:noProof/>
        </w:rPr>
        <w:drawing>
          <wp:inline distT="0" distB="0" distL="0" distR="0" wp14:anchorId="6C284FCF" wp14:editId="2E52F0EC">
            <wp:extent cx="2552378" cy="1386429"/>
            <wp:effectExtent l="0" t="0" r="635" b="0"/>
            <wp:docPr id="130273678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17034"/>
                    <a:stretch/>
                  </pic:blipFill>
                  <pic:spPr bwMode="auto">
                    <a:xfrm>
                      <a:off x="0" y="0"/>
                      <a:ext cx="2570228" cy="1396125"/>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7C4BB0F5" wp14:editId="0E974A5F">
            <wp:extent cx="2634018" cy="1447131"/>
            <wp:effectExtent l="0" t="0" r="0" b="0"/>
            <wp:docPr id="4300965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3815"/>
                    <a:stretch/>
                  </pic:blipFill>
                  <pic:spPr bwMode="auto">
                    <a:xfrm>
                      <a:off x="0" y="0"/>
                      <a:ext cx="2634143" cy="1447200"/>
                    </a:xfrm>
                    <a:prstGeom prst="rect">
                      <a:avLst/>
                    </a:prstGeom>
                    <a:noFill/>
                    <a:ln>
                      <a:noFill/>
                    </a:ln>
                    <a:extLst>
                      <a:ext uri="{53640926-AAD7-44D8-BBD7-CCE9431645EC}">
                        <a14:shadowObscured xmlns:a14="http://schemas.microsoft.com/office/drawing/2010/main"/>
                      </a:ext>
                    </a:extLst>
                  </pic:spPr>
                </pic:pic>
              </a:graphicData>
            </a:graphic>
          </wp:inline>
        </w:drawing>
      </w:r>
    </w:p>
    <w:p w14:paraId="481E6632" w14:textId="4E79CFB9" w:rsidR="00850831" w:rsidRPr="00850831" w:rsidRDefault="00850831" w:rsidP="00D63404">
      <w:pPr>
        <w:tabs>
          <w:tab w:val="center" w:pos="2694"/>
          <w:tab w:val="center" w:pos="6663"/>
        </w:tabs>
      </w:pPr>
      <w:r>
        <w:tab/>
        <w:t xml:space="preserve">(a) CAM </w:t>
      </w:r>
      <w:r>
        <w:tab/>
        <w:t>(b) CAM and CPM</w:t>
      </w:r>
    </w:p>
    <w:p w14:paraId="6FD23CDF" w14:textId="2CDCB2AD" w:rsidR="00850831" w:rsidRDefault="00850831" w:rsidP="00D63404">
      <w:pPr>
        <w:pStyle w:val="Caption"/>
        <w:ind w:left="360"/>
        <w:jc w:val="center"/>
      </w:pPr>
      <w:bookmarkStart w:id="239" w:name="_Ref196896060"/>
      <w:r w:rsidRPr="00191F27">
        <w:t xml:space="preserve">Figure </w:t>
      </w:r>
      <w:r>
        <w:fldChar w:fldCharType="begin"/>
      </w:r>
      <w:r>
        <w:instrText xml:space="preserve"> SEQ Figure \* ARABIC </w:instrText>
      </w:r>
      <w:r>
        <w:fldChar w:fldCharType="separate"/>
      </w:r>
      <w:r>
        <w:rPr>
          <w:noProof/>
        </w:rPr>
        <w:t>12</w:t>
      </w:r>
      <w:r>
        <w:rPr>
          <w:noProof/>
        </w:rPr>
        <w:fldChar w:fldCharType="end"/>
      </w:r>
      <w:bookmarkEnd w:id="239"/>
      <w:r w:rsidRPr="00191F27">
        <w:t>:</w:t>
      </w:r>
      <w:r>
        <w:t xml:space="preserve"> Illustration of r</w:t>
      </w:r>
      <w:r w:rsidRPr="00AB444C">
        <w:t>esource</w:t>
      </w:r>
      <w:r>
        <w:t>s</w:t>
      </w:r>
      <w:r w:rsidRPr="00AB444C">
        <w:t xml:space="preserve"> </w:t>
      </w:r>
      <w:r>
        <w:t>consumed by CAM and CPM</w:t>
      </w:r>
    </w:p>
    <w:p w14:paraId="434DC732" w14:textId="77777777" w:rsidR="00850831" w:rsidRDefault="00850831" w:rsidP="00850831"/>
    <w:p w14:paraId="1A59CDF7" w14:textId="6E662576" w:rsidR="00D8319C" w:rsidRDefault="00D8319C" w:rsidP="00D8319C">
      <w:pPr>
        <w:pStyle w:val="Heading2"/>
        <w:numPr>
          <w:ilvl w:val="1"/>
          <w:numId w:val="11"/>
        </w:numPr>
        <w:ind w:left="1134"/>
      </w:pPr>
      <w:bookmarkStart w:id="240" w:name="_Ref196899655"/>
      <w:bookmarkStart w:id="241" w:name="_Toc197337047"/>
      <w:r>
        <w:t>Heterogeneous resource requirements</w:t>
      </w:r>
      <w:bookmarkEnd w:id="240"/>
      <w:bookmarkEnd w:id="241"/>
    </w:p>
    <w:p w14:paraId="46B638C5" w14:textId="462B1259" w:rsidR="00D8319C" w:rsidRPr="00D63404" w:rsidRDefault="00D8319C" w:rsidP="00D63404">
      <w:pPr>
        <w:pStyle w:val="Heading3"/>
        <w:numPr>
          <w:ilvl w:val="2"/>
          <w:numId w:val="11"/>
        </w:numPr>
        <w:ind w:left="1134"/>
      </w:pPr>
      <w:bookmarkStart w:id="242" w:name="_Toc197337048"/>
      <w:r w:rsidRPr="00D63404">
        <w:t xml:space="preserve">Same </w:t>
      </w:r>
      <w:r>
        <w:t>s</w:t>
      </w:r>
      <w:r w:rsidRPr="00D63404">
        <w:t>ervice</w:t>
      </w:r>
      <w:r w:rsidR="00FA0346">
        <w:t>s</w:t>
      </w:r>
      <w:r>
        <w:t xml:space="preserve"> but d</w:t>
      </w:r>
      <w:r w:rsidRPr="00D63404">
        <w:t xml:space="preserve">ifferent </w:t>
      </w:r>
      <w:r>
        <w:t>r</w:t>
      </w:r>
      <w:r w:rsidRPr="00D63404">
        <w:t xml:space="preserve">esource </w:t>
      </w:r>
      <w:r>
        <w:t>n</w:t>
      </w:r>
      <w:r w:rsidRPr="00D63404">
        <w:t>eeds</w:t>
      </w:r>
      <w:bookmarkEnd w:id="242"/>
    </w:p>
    <w:p w14:paraId="57ACC797" w14:textId="4DEBEBDA" w:rsidR="00D8319C" w:rsidRPr="00D63404" w:rsidRDefault="00D8319C" w:rsidP="00D8319C">
      <w:pPr>
        <w:rPr>
          <w:lang w:val="en-US"/>
        </w:rPr>
      </w:pPr>
      <w:r>
        <w:rPr>
          <w:lang w:val="en-US"/>
        </w:rPr>
        <w:t xml:space="preserve">One important aspect to consider in the design of the RM is the fact that two (or more) ITS-S </w:t>
      </w:r>
      <w:r w:rsidRPr="00D8319C">
        <w:rPr>
          <w:lang w:val="en-US"/>
        </w:rPr>
        <w:t>could be</w:t>
      </w:r>
      <w:r w:rsidRPr="00D63404">
        <w:rPr>
          <w:lang w:val="en-US"/>
        </w:rPr>
        <w:t xml:space="preserve"> running exactly the same ITS services, </w:t>
      </w:r>
      <w:r w:rsidRPr="00D8319C">
        <w:rPr>
          <w:lang w:val="en-US"/>
        </w:rPr>
        <w:t xml:space="preserve">but </w:t>
      </w:r>
      <w:r w:rsidRPr="00D63404">
        <w:rPr>
          <w:lang w:val="en-US"/>
        </w:rPr>
        <w:t>the radio resources each one consumes can differ widely</w:t>
      </w:r>
      <w:r w:rsidRPr="00D8319C">
        <w:rPr>
          <w:lang w:val="en-US"/>
        </w:rPr>
        <w:t>.</w:t>
      </w:r>
      <w:r>
        <w:rPr>
          <w:lang w:val="en-US"/>
        </w:rPr>
        <w:t xml:space="preserve"> Some examples are described below:</w:t>
      </w:r>
    </w:p>
    <w:p w14:paraId="1A71C685" w14:textId="07F4F096" w:rsidR="00D8319C" w:rsidRPr="00D63404" w:rsidRDefault="00D8319C" w:rsidP="00D8319C">
      <w:pPr>
        <w:numPr>
          <w:ilvl w:val="0"/>
          <w:numId w:val="30"/>
        </w:numPr>
        <w:rPr>
          <w:lang w:val="en-US"/>
        </w:rPr>
      </w:pPr>
      <w:r w:rsidRPr="00D63404">
        <w:rPr>
          <w:b/>
          <w:bCs/>
          <w:lang w:val="en-US"/>
        </w:rPr>
        <w:t>Cooperative Perception Service (CPS).</w:t>
      </w:r>
      <w:r w:rsidR="00B9202E">
        <w:rPr>
          <w:b/>
          <w:bCs/>
          <w:lang w:val="en-US"/>
        </w:rPr>
        <w:t xml:space="preserve"> </w:t>
      </w:r>
      <w:r w:rsidRPr="00D63404">
        <w:rPr>
          <w:lang w:val="en-US"/>
        </w:rPr>
        <w:t>A</w:t>
      </w:r>
      <w:r>
        <w:rPr>
          <w:lang w:val="en-US"/>
        </w:rPr>
        <w:t xml:space="preserve">n ITS-S on a </w:t>
      </w:r>
      <w:r w:rsidRPr="00D8319C">
        <w:rPr>
          <w:lang w:val="en-US"/>
        </w:rPr>
        <w:t>vehicle typically detects less objects than an</w:t>
      </w:r>
      <w:r>
        <w:rPr>
          <w:lang w:val="en-US"/>
        </w:rPr>
        <w:t xml:space="preserve"> ITS-S on a</w:t>
      </w:r>
      <w:r w:rsidRPr="00D8319C">
        <w:rPr>
          <w:lang w:val="en-US"/>
        </w:rPr>
        <w:t xml:space="preserve"> RSU</w:t>
      </w:r>
      <w:r>
        <w:rPr>
          <w:lang w:val="en-US"/>
        </w:rPr>
        <w:t xml:space="preserve">, so that the amount of information they need to generate is different. Also, </w:t>
      </w:r>
      <w:r w:rsidRPr="00D8319C">
        <w:rPr>
          <w:lang w:val="en-US"/>
        </w:rPr>
        <w:t xml:space="preserve">two </w:t>
      </w:r>
      <w:r>
        <w:rPr>
          <w:lang w:val="en-US"/>
        </w:rPr>
        <w:t xml:space="preserve">nearby </w:t>
      </w:r>
      <w:r w:rsidRPr="00D8319C">
        <w:rPr>
          <w:lang w:val="en-US"/>
        </w:rPr>
        <w:t xml:space="preserve">vehicles can also detect a very different </w:t>
      </w:r>
      <w:r w:rsidR="00D63404" w:rsidRPr="00D8319C">
        <w:rPr>
          <w:lang w:val="en-US"/>
        </w:rPr>
        <w:t>number</w:t>
      </w:r>
      <w:r w:rsidRPr="00D8319C">
        <w:rPr>
          <w:lang w:val="en-US"/>
        </w:rPr>
        <w:t xml:space="preserve"> of objects</w:t>
      </w:r>
      <w:r>
        <w:rPr>
          <w:lang w:val="en-US"/>
        </w:rPr>
        <w:t xml:space="preserve"> based on their specific location and sensors</w:t>
      </w:r>
      <w:r w:rsidRPr="00D63404">
        <w:rPr>
          <w:lang w:val="en-US"/>
        </w:rPr>
        <w:t>.</w:t>
      </w:r>
      <w:r>
        <w:rPr>
          <w:lang w:val="en-US"/>
        </w:rPr>
        <w:t xml:space="preserve"> The quality of the sensors is also an important factor, since the quality of the detections is also </w:t>
      </w:r>
      <w:r w:rsidR="00A02FF7">
        <w:rPr>
          <w:lang w:val="en-US"/>
        </w:rPr>
        <w:t>influencing</w:t>
      </w:r>
      <w:r>
        <w:rPr>
          <w:lang w:val="en-US"/>
        </w:rPr>
        <w:t xml:space="preserve"> the amount of information that needs to be transmitted. </w:t>
      </w:r>
    </w:p>
    <w:p w14:paraId="19D9ADEA" w14:textId="6D3F960D" w:rsidR="00D8319C" w:rsidRPr="00D63404" w:rsidRDefault="00D8319C" w:rsidP="00D8319C">
      <w:pPr>
        <w:numPr>
          <w:ilvl w:val="0"/>
          <w:numId w:val="30"/>
        </w:numPr>
        <w:rPr>
          <w:lang w:val="en-US"/>
        </w:rPr>
      </w:pPr>
      <w:r w:rsidRPr="00D63404">
        <w:rPr>
          <w:b/>
          <w:bCs/>
          <w:lang w:val="en-US"/>
        </w:rPr>
        <w:t xml:space="preserve">Automated Vehicle </w:t>
      </w:r>
      <w:r w:rsidR="00A02FF7" w:rsidRPr="00A02FF7">
        <w:rPr>
          <w:b/>
          <w:bCs/>
          <w:lang w:val="en-US"/>
        </w:rPr>
        <w:t xml:space="preserve">Marshalling </w:t>
      </w:r>
      <w:r w:rsidRPr="00D63404">
        <w:rPr>
          <w:b/>
          <w:bCs/>
          <w:lang w:val="en-US"/>
        </w:rPr>
        <w:t>(AVM).</w:t>
      </w:r>
      <w:r w:rsidR="00B9202E">
        <w:rPr>
          <w:b/>
          <w:bCs/>
          <w:lang w:val="en-US"/>
        </w:rPr>
        <w:t xml:space="preserve"> </w:t>
      </w:r>
      <w:r>
        <w:rPr>
          <w:lang w:val="en-US"/>
        </w:rPr>
        <w:t xml:space="preserve">Vehicles participating in an AVM system transmit </w:t>
      </w:r>
      <w:r w:rsidR="00A02FF7" w:rsidRPr="00A02FF7">
        <w:rPr>
          <w:lang w:val="en-US"/>
        </w:rPr>
        <w:t>Marshalling</w:t>
      </w:r>
      <w:r w:rsidR="00C156FC">
        <w:rPr>
          <w:lang w:val="en-US"/>
        </w:rPr>
        <w:t xml:space="preserve"> </w:t>
      </w:r>
      <w:r>
        <w:rPr>
          <w:lang w:val="en-US"/>
        </w:rPr>
        <w:t>Vehicle Messages</w:t>
      </w:r>
      <w:r w:rsidRPr="00D63404">
        <w:rPr>
          <w:lang w:val="en-US"/>
        </w:rPr>
        <w:t xml:space="preserve"> (MVMs)</w:t>
      </w:r>
      <w:r>
        <w:rPr>
          <w:lang w:val="en-US"/>
        </w:rPr>
        <w:t xml:space="preserve">. The infrastructure controlling these vehicles generate </w:t>
      </w:r>
      <w:r w:rsidR="00A02FF7" w:rsidRPr="00A02FF7">
        <w:rPr>
          <w:lang w:val="en-US"/>
        </w:rPr>
        <w:t>Marshalling</w:t>
      </w:r>
      <w:r w:rsidR="00BE0559">
        <w:rPr>
          <w:lang w:val="en-US"/>
        </w:rPr>
        <w:t xml:space="preserve"> </w:t>
      </w:r>
      <w:r>
        <w:rPr>
          <w:lang w:val="en-US"/>
        </w:rPr>
        <w:t>Infrastructure Messages (MIMs) that are larger in size and must be more frequently transmitted</w:t>
      </w:r>
      <w:r w:rsidR="00D01BF3">
        <w:rPr>
          <w:lang w:val="en-US"/>
        </w:rPr>
        <w:t xml:space="preserve">, see for more information the publication </w:t>
      </w:r>
      <w:r w:rsidR="00D01BF3" w:rsidRPr="00D01BF3">
        <w:rPr>
          <w:lang w:val="en-US"/>
        </w:rPr>
        <w:t>"Automated Vehicle Marshalling,"</w:t>
      </w:r>
      <w:r w:rsidR="00583E36">
        <w:rPr>
          <w:lang w:val="en-US"/>
        </w:rPr>
        <w:t xml:space="preserve"> </w:t>
      </w:r>
      <w:r w:rsidR="00D01BF3">
        <w:rPr>
          <w:lang w:val="en-US"/>
        </w:rPr>
        <w:fldChar w:fldCharType="begin"/>
      </w:r>
      <w:r w:rsidR="00D01BF3">
        <w:rPr>
          <w:lang w:val="en-US"/>
        </w:rPr>
        <w:instrText xml:space="preserve"> REF Automated_Vehicle_Marshalling \h </w:instrText>
      </w:r>
      <w:r w:rsidR="00D01BF3">
        <w:rPr>
          <w:lang w:val="en-US"/>
        </w:rPr>
      </w:r>
      <w:r w:rsidR="00D01BF3">
        <w:rPr>
          <w:lang w:val="en-US"/>
        </w:rPr>
        <w:fldChar w:fldCharType="separate"/>
      </w:r>
      <w:r w:rsidR="00D01BF3">
        <w:t>[i.32]</w:t>
      </w:r>
      <w:r w:rsidR="00D01BF3">
        <w:rPr>
          <w:lang w:val="en-US"/>
        </w:rPr>
        <w:fldChar w:fldCharType="end"/>
      </w:r>
      <w:r w:rsidRPr="00D63404">
        <w:rPr>
          <w:lang w:val="en-US"/>
        </w:rPr>
        <w:t xml:space="preserve">. Even though both participate in AVM, their </w:t>
      </w:r>
      <w:r>
        <w:rPr>
          <w:lang w:val="en-US"/>
        </w:rPr>
        <w:t>resource needs</w:t>
      </w:r>
      <w:r w:rsidRPr="00D63404">
        <w:rPr>
          <w:lang w:val="en-US"/>
        </w:rPr>
        <w:t xml:space="preserve"> are intrinsically asymmetric.</w:t>
      </w:r>
    </w:p>
    <w:p w14:paraId="4EF1BC6E" w14:textId="2DE514DD" w:rsidR="00D8319C" w:rsidRPr="00D63404" w:rsidRDefault="00D8319C" w:rsidP="00D8319C">
      <w:pPr>
        <w:numPr>
          <w:ilvl w:val="0"/>
          <w:numId w:val="30"/>
        </w:numPr>
        <w:rPr>
          <w:lang w:val="en-US"/>
        </w:rPr>
      </w:pPr>
      <w:r w:rsidRPr="00D63404">
        <w:rPr>
          <w:b/>
          <w:bCs/>
          <w:lang w:val="en-US"/>
        </w:rPr>
        <w:t>Cooperative Awareness (CA).</w:t>
      </w:r>
      <w:r w:rsidR="00B9202E">
        <w:rPr>
          <w:b/>
          <w:bCs/>
          <w:lang w:val="en-US"/>
        </w:rPr>
        <w:t xml:space="preserve"> </w:t>
      </w:r>
      <w:r w:rsidR="00230123">
        <w:rPr>
          <w:lang w:val="en-US"/>
        </w:rPr>
        <w:t>T</w:t>
      </w:r>
      <w:r w:rsidR="00230123" w:rsidRPr="00230123">
        <w:rPr>
          <w:lang w:val="en-US"/>
        </w:rPr>
        <w:t xml:space="preserve">wo implementations may have different </w:t>
      </w:r>
      <w:r w:rsidR="00230123">
        <w:rPr>
          <w:lang w:val="en-US"/>
        </w:rPr>
        <w:t xml:space="preserve">resource </w:t>
      </w:r>
      <w:r w:rsidR="00230123" w:rsidRPr="00230123">
        <w:rPr>
          <w:lang w:val="en-US"/>
        </w:rPr>
        <w:t>requirements depending on the optional elements implemented, and the specific driving condition</w:t>
      </w:r>
      <w:r w:rsidR="00230123">
        <w:rPr>
          <w:lang w:val="en-US"/>
        </w:rPr>
        <w:t xml:space="preserve">s. As an example, a vehicle could be in a traffic </w:t>
      </w:r>
      <w:r w:rsidR="00230123" w:rsidRPr="00230123">
        <w:rPr>
          <w:lang w:val="en-US"/>
        </w:rPr>
        <w:t>jam in one</w:t>
      </w:r>
      <w:r w:rsidR="00230123">
        <w:rPr>
          <w:lang w:val="en-US"/>
        </w:rPr>
        <w:t xml:space="preserve"> driving</w:t>
      </w:r>
      <w:r w:rsidR="00230123" w:rsidRPr="00230123">
        <w:rPr>
          <w:lang w:val="en-US"/>
        </w:rPr>
        <w:t xml:space="preserve"> direction and </w:t>
      </w:r>
      <w:r w:rsidR="00230123">
        <w:rPr>
          <w:lang w:val="en-US"/>
        </w:rPr>
        <w:t xml:space="preserve">a nearby vehicle could experience </w:t>
      </w:r>
      <w:r w:rsidR="00230123" w:rsidRPr="00230123">
        <w:rPr>
          <w:lang w:val="en-US"/>
        </w:rPr>
        <w:t xml:space="preserve">free flow </w:t>
      </w:r>
      <w:r w:rsidR="00230123">
        <w:rPr>
          <w:lang w:val="en-US"/>
        </w:rPr>
        <w:t xml:space="preserve">conditions </w:t>
      </w:r>
      <w:r w:rsidR="00230123" w:rsidRPr="00230123">
        <w:rPr>
          <w:lang w:val="en-US"/>
        </w:rPr>
        <w:t>in the other</w:t>
      </w:r>
      <w:r w:rsidR="00230123">
        <w:rPr>
          <w:lang w:val="en-US"/>
        </w:rPr>
        <w:t xml:space="preserve"> direction</w:t>
      </w:r>
      <w:r w:rsidRPr="00D63404">
        <w:rPr>
          <w:lang w:val="en-US"/>
        </w:rPr>
        <w:t>.</w:t>
      </w:r>
      <w:r w:rsidR="00B9202E">
        <w:rPr>
          <w:lang w:val="en-US"/>
        </w:rPr>
        <w:t xml:space="preserve"> The CA service of the vehicle stopped would generate CAMs at 1Hz, while the other could require the transmission of CAMs at 10Hz depending </w:t>
      </w:r>
      <w:r w:rsidR="00936BAF">
        <w:rPr>
          <w:lang w:val="en-US"/>
        </w:rPr>
        <w:t xml:space="preserve">mainly </w:t>
      </w:r>
      <w:r w:rsidR="00B9202E">
        <w:rPr>
          <w:lang w:val="en-US"/>
        </w:rPr>
        <w:t xml:space="preserve">on </w:t>
      </w:r>
      <w:r w:rsidR="00936BAF">
        <w:rPr>
          <w:lang w:val="en-US"/>
        </w:rPr>
        <w:t>its</w:t>
      </w:r>
      <w:r w:rsidR="00B9202E">
        <w:rPr>
          <w:lang w:val="en-US"/>
        </w:rPr>
        <w:t xml:space="preserve"> speed.</w:t>
      </w:r>
    </w:p>
    <w:p w14:paraId="2AD69A4F" w14:textId="336FFEA0" w:rsidR="00D8319C" w:rsidRPr="00D63404" w:rsidRDefault="000B028A" w:rsidP="00D8319C">
      <w:pPr>
        <w:rPr>
          <w:lang w:val="en-US"/>
        </w:rPr>
      </w:pPr>
      <w:r>
        <w:rPr>
          <w:lang w:val="en-US"/>
        </w:rPr>
        <w:t>The design of the RM should be able to handle with this heterogeneity of resource needs to optimize the bandwidth efficiency and system performance</w:t>
      </w:r>
      <w:r w:rsidR="00D8319C" w:rsidRPr="00D63404">
        <w:rPr>
          <w:lang w:val="en-US"/>
        </w:rPr>
        <w:t>.</w:t>
      </w:r>
    </w:p>
    <w:p w14:paraId="05EA9415" w14:textId="1BB6FAC7" w:rsidR="00D8319C" w:rsidRPr="00D63404" w:rsidRDefault="00D8319C" w:rsidP="00D8319C">
      <w:pPr>
        <w:rPr>
          <w:lang w:val="en-US"/>
        </w:rPr>
      </w:pPr>
    </w:p>
    <w:p w14:paraId="133F92C5" w14:textId="31512E4D" w:rsidR="00D8319C" w:rsidRPr="00D63404" w:rsidRDefault="00D8319C" w:rsidP="00D63404">
      <w:pPr>
        <w:pStyle w:val="Heading3"/>
        <w:numPr>
          <w:ilvl w:val="2"/>
          <w:numId w:val="11"/>
        </w:numPr>
        <w:ind w:left="1134"/>
      </w:pPr>
      <w:bookmarkStart w:id="243" w:name="_Toc197337049"/>
      <w:r w:rsidRPr="00D63404">
        <w:t xml:space="preserve">Different </w:t>
      </w:r>
      <w:r>
        <w:t>r</w:t>
      </w:r>
      <w:r w:rsidRPr="00D63404">
        <w:t>eleases</w:t>
      </w:r>
      <w:r w:rsidR="00FA0346">
        <w:t xml:space="preserve"> with different needs</w:t>
      </w:r>
      <w:bookmarkEnd w:id="243"/>
    </w:p>
    <w:p w14:paraId="08EE3855" w14:textId="728F1904" w:rsidR="00D8319C" w:rsidRPr="00D63404" w:rsidRDefault="00FA0346" w:rsidP="00D8319C">
      <w:pPr>
        <w:rPr>
          <w:lang w:val="en-US"/>
        </w:rPr>
      </w:pPr>
      <w:r>
        <w:rPr>
          <w:lang w:val="en-US"/>
        </w:rPr>
        <w:t>The resources needed by different ITS-S also depend on their Release, since they are expected to implement different ITS-S services in each release. Some examples are shown below:</w:t>
      </w:r>
    </w:p>
    <w:p w14:paraId="35F3C12A" w14:textId="216373E9" w:rsidR="00D8319C" w:rsidRPr="00D63404" w:rsidRDefault="00D8319C" w:rsidP="00D8319C">
      <w:pPr>
        <w:numPr>
          <w:ilvl w:val="0"/>
          <w:numId w:val="31"/>
        </w:numPr>
        <w:rPr>
          <w:lang w:val="en-US"/>
        </w:rPr>
      </w:pPr>
      <w:r w:rsidRPr="00D63404">
        <w:rPr>
          <w:lang w:val="en-US"/>
        </w:rPr>
        <w:t xml:space="preserve">A Release 1 </w:t>
      </w:r>
      <w:r w:rsidR="00FA0346">
        <w:rPr>
          <w:lang w:val="en-US"/>
        </w:rPr>
        <w:t>ITS-S</w:t>
      </w:r>
      <w:r w:rsidRPr="00D63404">
        <w:rPr>
          <w:lang w:val="en-US"/>
        </w:rPr>
        <w:t xml:space="preserve"> </w:t>
      </w:r>
      <w:r w:rsidR="00C57782">
        <w:rPr>
          <w:lang w:val="en-US"/>
        </w:rPr>
        <w:t>generates</w:t>
      </w:r>
      <w:r w:rsidRPr="00D63404">
        <w:rPr>
          <w:lang w:val="en-US"/>
        </w:rPr>
        <w:t xml:space="preserve"> </w:t>
      </w:r>
      <w:r w:rsidR="00FA0346" w:rsidRPr="00FA0346">
        <w:rPr>
          <w:lang w:val="en-US"/>
        </w:rPr>
        <w:t xml:space="preserve">essentially </w:t>
      </w:r>
      <w:r w:rsidRPr="00D63404">
        <w:rPr>
          <w:lang w:val="en-US"/>
        </w:rPr>
        <w:t>CAM</w:t>
      </w:r>
      <w:r w:rsidR="00FA0346" w:rsidRPr="00FA0346">
        <w:rPr>
          <w:lang w:val="en-US"/>
        </w:rPr>
        <w:t>s</w:t>
      </w:r>
      <w:r w:rsidRPr="00D63404">
        <w:rPr>
          <w:lang w:val="en-US"/>
        </w:rPr>
        <w:t xml:space="preserve"> and only occasional DENM</w:t>
      </w:r>
      <w:r w:rsidR="00FA0346" w:rsidRPr="00FA0346">
        <w:rPr>
          <w:lang w:val="en-US"/>
        </w:rPr>
        <w:t>s</w:t>
      </w:r>
      <w:r w:rsidRPr="00D63404">
        <w:rPr>
          <w:lang w:val="en-US"/>
        </w:rPr>
        <w:t>.</w:t>
      </w:r>
    </w:p>
    <w:p w14:paraId="63462925" w14:textId="70355B0D" w:rsidR="00D8319C" w:rsidRPr="00D63404" w:rsidRDefault="00D8319C" w:rsidP="00D8319C">
      <w:pPr>
        <w:numPr>
          <w:ilvl w:val="0"/>
          <w:numId w:val="31"/>
        </w:numPr>
        <w:rPr>
          <w:lang w:val="en-US"/>
        </w:rPr>
      </w:pPr>
      <w:r w:rsidRPr="00D63404">
        <w:rPr>
          <w:lang w:val="en-US"/>
        </w:rPr>
        <w:t xml:space="preserve">A Release 2 </w:t>
      </w:r>
      <w:r w:rsidR="00FA0346">
        <w:rPr>
          <w:lang w:val="en-US"/>
        </w:rPr>
        <w:t>ITS-S</w:t>
      </w:r>
      <w:r w:rsidRPr="00D63404">
        <w:rPr>
          <w:lang w:val="en-US"/>
        </w:rPr>
        <w:t xml:space="preserve"> </w:t>
      </w:r>
      <w:r w:rsidR="00FA0346">
        <w:rPr>
          <w:lang w:val="en-US"/>
        </w:rPr>
        <w:t>also implements collective perception</w:t>
      </w:r>
      <w:r w:rsidRPr="00D63404">
        <w:rPr>
          <w:lang w:val="en-US"/>
        </w:rPr>
        <w:t xml:space="preserve">, so it </w:t>
      </w:r>
      <w:r w:rsidR="00FA0346">
        <w:rPr>
          <w:lang w:val="en-US"/>
        </w:rPr>
        <w:t>generates</w:t>
      </w:r>
      <w:r w:rsidRPr="00D63404">
        <w:rPr>
          <w:lang w:val="en-US"/>
        </w:rPr>
        <w:t xml:space="preserve"> CPMs in addition to CAM</w:t>
      </w:r>
      <w:r w:rsidR="00FA0346">
        <w:rPr>
          <w:lang w:val="en-US"/>
        </w:rPr>
        <w:t>s</w:t>
      </w:r>
      <w:r w:rsidRPr="00D63404">
        <w:rPr>
          <w:lang w:val="en-US"/>
        </w:rPr>
        <w:t xml:space="preserve"> and sporadic DENM</w:t>
      </w:r>
      <w:r w:rsidR="00FA0346">
        <w:rPr>
          <w:lang w:val="en-US"/>
        </w:rPr>
        <w:t>s</w:t>
      </w:r>
      <w:r w:rsidRPr="00D63404">
        <w:rPr>
          <w:lang w:val="en-US"/>
        </w:rPr>
        <w:t>.</w:t>
      </w:r>
    </w:p>
    <w:p w14:paraId="15A555D3" w14:textId="15371E71" w:rsidR="00D8319C" w:rsidRPr="00D63404" w:rsidRDefault="00D8319C" w:rsidP="00D8319C">
      <w:pPr>
        <w:numPr>
          <w:ilvl w:val="0"/>
          <w:numId w:val="31"/>
        </w:numPr>
        <w:rPr>
          <w:lang w:val="en-US"/>
        </w:rPr>
      </w:pPr>
      <w:r w:rsidRPr="00D63404">
        <w:rPr>
          <w:lang w:val="en-US"/>
        </w:rPr>
        <w:t xml:space="preserve">A Release 3 </w:t>
      </w:r>
      <w:r w:rsidR="00FA0346">
        <w:rPr>
          <w:lang w:val="en-US"/>
        </w:rPr>
        <w:t>ITS-S</w:t>
      </w:r>
      <w:r w:rsidRPr="00D63404">
        <w:rPr>
          <w:lang w:val="en-US"/>
        </w:rPr>
        <w:t xml:space="preserve"> </w:t>
      </w:r>
      <w:r w:rsidR="00FA0346">
        <w:rPr>
          <w:lang w:val="en-US"/>
        </w:rPr>
        <w:t>could also implement maneuver coordination, generating MCMs in addition to CPMs, CAMs and DENMs.</w:t>
      </w:r>
    </w:p>
    <w:p w14:paraId="6AEA6B82" w14:textId="591BC1AD" w:rsidR="00D8319C" w:rsidRDefault="00D8319C" w:rsidP="00850831">
      <w:r w:rsidRPr="00D63404">
        <w:rPr>
          <w:lang w:val="en-US"/>
        </w:rPr>
        <w:t xml:space="preserve">On any given road </w:t>
      </w:r>
      <w:r w:rsidR="00C57782">
        <w:rPr>
          <w:lang w:val="en-US"/>
        </w:rPr>
        <w:t>different ITS-S implementing different Releases can be</w:t>
      </w:r>
      <w:r w:rsidRPr="00D63404">
        <w:rPr>
          <w:lang w:val="en-US"/>
        </w:rPr>
        <w:t xml:space="preserve"> intermixed, each with its own </w:t>
      </w:r>
      <w:r w:rsidR="00C57782">
        <w:rPr>
          <w:lang w:val="en-US"/>
        </w:rPr>
        <w:t>resource needs</w:t>
      </w:r>
      <w:r w:rsidRPr="00D63404">
        <w:rPr>
          <w:lang w:val="en-US"/>
        </w:rPr>
        <w:t xml:space="preserve">—ranging from a lightweight CAM-only sender to a fully-featured node that </w:t>
      </w:r>
      <w:r w:rsidR="00C57782">
        <w:rPr>
          <w:lang w:val="en-US"/>
        </w:rPr>
        <w:t>generates</w:t>
      </w:r>
      <w:r w:rsidRPr="00D63404">
        <w:rPr>
          <w:lang w:val="en-US"/>
        </w:rPr>
        <w:t xml:space="preserve"> CAM, CPM, MCM and DENM concurrently. </w:t>
      </w:r>
      <w:r w:rsidR="00C57782">
        <w:rPr>
          <w:lang w:val="en-US"/>
        </w:rPr>
        <w:t>The design of the RM should ideally take into account these aspects</w:t>
      </w:r>
      <w:r w:rsidRPr="00D63404">
        <w:rPr>
          <w:lang w:val="en-US"/>
        </w:rPr>
        <w:t>.</w:t>
      </w:r>
    </w:p>
    <w:p w14:paraId="3335FFBB" w14:textId="77777777" w:rsidR="00D8319C" w:rsidRDefault="00D8319C" w:rsidP="00D63404"/>
    <w:p w14:paraId="1CE1457A" w14:textId="77777777" w:rsidR="005B21F8" w:rsidRDefault="005B21F8" w:rsidP="00F140CF">
      <w:pPr>
        <w:pStyle w:val="Heading2"/>
        <w:numPr>
          <w:ilvl w:val="1"/>
          <w:numId w:val="11"/>
        </w:numPr>
        <w:ind w:left="1134"/>
      </w:pPr>
      <w:bookmarkStart w:id="244" w:name="_Toc197337050"/>
      <w:r>
        <w:t>Indications to ITS-S services</w:t>
      </w:r>
      <w:bookmarkEnd w:id="244"/>
    </w:p>
    <w:p w14:paraId="093322AE" w14:textId="77777777" w:rsidR="005B21F8" w:rsidRDefault="005B21F8" w:rsidP="000E15DE">
      <w:r>
        <w:t>ITS-S services will dynamically adapt the messages they generate (size and/or interval) following the indications of RM. Different options are possible with different levels of abstractions for the RM to inform the ITS-S about the messages they can generate:</w:t>
      </w:r>
    </w:p>
    <w:p w14:paraId="09C61A06" w14:textId="77777777" w:rsidR="005B21F8" w:rsidRDefault="005B21F8" w:rsidP="00F140CF">
      <w:pPr>
        <w:pStyle w:val="ListParagraph"/>
        <w:numPr>
          <w:ilvl w:val="0"/>
          <w:numId w:val="28"/>
        </w:numPr>
      </w:pPr>
      <w:r>
        <w:t>Bits/s. The RM could limit the amount of bits/s that each ITS-S can generate in the default channel (or alternative channels). With this approach the ITS-S services could adapt e.g. the message interval for a given size.</w:t>
      </w:r>
    </w:p>
    <w:p w14:paraId="0FE0FD1F" w14:textId="2E293134" w:rsidR="005B21F8" w:rsidRDefault="005B21F8" w:rsidP="00F140CF">
      <w:pPr>
        <w:pStyle w:val="ListParagraph"/>
        <w:numPr>
          <w:ilvl w:val="0"/>
          <w:numId w:val="28"/>
        </w:numPr>
      </w:pPr>
      <w:r>
        <w:t xml:space="preserve">Bits. The RM could assign a certain number of bits to the ITS-S services to indicate them that they are allowed to generate one or more messages so that the total amount of bits does not exceed the assigned one, irrespective of the time. In the next update, the RM could take into account if the ITS-S services consumed all the bits assigned or not, and re-assign them accordingly. This approach is similar to the previous </w:t>
      </w:r>
      <w:r w:rsidR="00844B6A">
        <w:t>one but</w:t>
      </w:r>
      <w:r>
        <w:t xml:space="preserve"> avoids the complexity of time management in the services, since they only have to check the </w:t>
      </w:r>
      <w:r w:rsidR="00F61E18">
        <w:t>number</w:t>
      </w:r>
      <w:r>
        <w:t xml:space="preserve"> of assigned bits left to generate new messages. </w:t>
      </w:r>
    </w:p>
    <w:p w14:paraId="567CA922" w14:textId="2C70DBAA" w:rsidR="002109E3" w:rsidRPr="002109E3" w:rsidRDefault="005B21F8" w:rsidP="006E2E62">
      <w:pPr>
        <w:pStyle w:val="ListParagraph"/>
        <w:numPr>
          <w:ilvl w:val="0"/>
          <w:numId w:val="28"/>
        </w:numPr>
      </w:pPr>
      <w:r>
        <w:t>T</w:t>
      </w:r>
      <w:r w:rsidRPr="000E15DE">
        <w:rPr>
          <w:vertAlign w:val="subscript"/>
        </w:rPr>
        <w:t>on</w:t>
      </w:r>
      <w:r>
        <w:t>/T</w:t>
      </w:r>
      <w:r w:rsidRPr="000E15DE">
        <w:rPr>
          <w:vertAlign w:val="subscript"/>
        </w:rPr>
        <w:t>off</w:t>
      </w:r>
      <w:r>
        <w:t xml:space="preserve">. This approach was used in Release 1 as detailed in clause </w:t>
      </w:r>
      <w:r>
        <w:fldChar w:fldCharType="begin"/>
      </w:r>
      <w:r>
        <w:instrText xml:space="preserve"> REF _Ref192495095 \n \h </w:instrText>
      </w:r>
      <w:r w:rsidR="000E15DE">
        <w:instrText xml:space="preserve"> \* MERGEFORMAT </w:instrText>
      </w:r>
      <w:r>
        <w:fldChar w:fldCharType="separate"/>
      </w:r>
      <w:r>
        <w:t>5.2</w:t>
      </w:r>
      <w:r>
        <w:fldChar w:fldCharType="end"/>
      </w:r>
      <w:r>
        <w:t>. Radio access technologies like LTE-V2X and NR V2X would not support this approach because they have a fix</w:t>
      </w:r>
      <w:r w:rsidR="00F61E18">
        <w:t>ed</w:t>
      </w:r>
      <w:r>
        <w:t xml:space="preserve"> </w:t>
      </w:r>
      <w:r w:rsidRPr="000E15DE">
        <w:rPr>
          <w:i/>
          <w:iCs/>
        </w:rPr>
        <w:t>T</w:t>
      </w:r>
      <w:r w:rsidRPr="000E15DE">
        <w:rPr>
          <w:i/>
          <w:iCs/>
          <w:vertAlign w:val="subscript"/>
        </w:rPr>
        <w:t>on</w:t>
      </w:r>
      <w:r w:rsidR="007D0F6D">
        <w:t>, except in those cases where one facility-layer message must be segmented in multiple packets at the access layer.</w:t>
      </w:r>
    </w:p>
    <w:p w14:paraId="0A0CE009" w14:textId="24313A97" w:rsidR="002109E3" w:rsidRPr="00F54712" w:rsidRDefault="002109E3" w:rsidP="00F140CF">
      <w:pPr>
        <w:pStyle w:val="Heading1"/>
        <w:numPr>
          <w:ilvl w:val="0"/>
          <w:numId w:val="11"/>
        </w:numPr>
        <w:ind w:left="1134"/>
      </w:pPr>
      <w:bookmarkStart w:id="245" w:name="_Ref184459762"/>
      <w:bookmarkStart w:id="246" w:name="_Toc197337051"/>
      <w:r>
        <w:t>Resource Management concepts</w:t>
      </w:r>
      <w:bookmarkEnd w:id="245"/>
      <w:bookmarkEnd w:id="246"/>
    </w:p>
    <w:p w14:paraId="525626AB" w14:textId="1061721D" w:rsidR="002109E3" w:rsidRPr="00F54712" w:rsidRDefault="002109E3" w:rsidP="00F140CF">
      <w:pPr>
        <w:pStyle w:val="Heading2"/>
        <w:numPr>
          <w:ilvl w:val="1"/>
          <w:numId w:val="11"/>
        </w:numPr>
        <w:ind w:left="1134"/>
      </w:pPr>
      <w:bookmarkStart w:id="247" w:name="_Toc197337052"/>
      <w:r>
        <w:t>Introduction</w:t>
      </w:r>
      <w:bookmarkEnd w:id="247"/>
    </w:p>
    <w:p w14:paraId="4D3D0491" w14:textId="6385B07B" w:rsidR="005E3921" w:rsidRDefault="005E3921" w:rsidP="005E3921">
      <w:r>
        <w:t xml:space="preserve">Resource management plays a pivotal role in ensuring efficient operation and quality of service (QoS) in communication systems. The Facilities Layer (FL) is particularly well-suited for this task, as it </w:t>
      </w:r>
      <w:r w:rsidR="0089222E">
        <w:t xml:space="preserve">can </w:t>
      </w:r>
      <w:r>
        <w:t>integrate the capabilities of lower layers with the dynamic functional requirements of ITS-S services. As highlighted in the Multi-Channel Operation (MCO) concept study in ETSI TR 103 439</w:t>
      </w:r>
      <w:r w:rsidR="00817DD0">
        <w:t xml:space="preserve"> </w:t>
      </w:r>
      <w:r w:rsidR="00817DD0">
        <w:fldChar w:fldCharType="begin"/>
      </w:r>
      <w:r w:rsidR="00817DD0">
        <w:instrText xml:space="preserve"> REF ETSI_TR103439 \h </w:instrText>
      </w:r>
      <w:r w:rsidR="00817DD0">
        <w:fldChar w:fldCharType="separate"/>
      </w:r>
      <w:r w:rsidR="00817DD0" w:rsidRPr="00913ABF">
        <w:t>[i.</w:t>
      </w:r>
      <w:r w:rsidR="00817DD0">
        <w:t>1</w:t>
      </w:r>
      <w:r w:rsidR="00817DD0" w:rsidRPr="00913ABF">
        <w:t>]</w:t>
      </w:r>
      <w:r w:rsidR="00817DD0">
        <w:fldChar w:fldCharType="end"/>
      </w:r>
      <w:r>
        <w:t xml:space="preserve">, </w:t>
      </w:r>
      <w:r w:rsidR="00F85C27">
        <w:t>ITS-S</w:t>
      </w:r>
      <w:r w:rsidR="0001185B">
        <w:t>-MS</w:t>
      </w:r>
      <w:r w:rsidR="00F85C27">
        <w:t xml:space="preserve"> </w:t>
      </w:r>
      <w:r>
        <w:t xml:space="preserve">at this layer are unaware of the communication needs of other </w:t>
      </w:r>
      <w:r w:rsidR="00F85C27">
        <w:t>ITS-S</w:t>
      </w:r>
      <w:r w:rsidR="0001185B">
        <w:t>-MS</w:t>
      </w:r>
      <w:r>
        <w:t>. This necessitates a robust Resource Management (RM) functionality to ensure a consistent and efficient use of available channels.</w:t>
      </w:r>
    </w:p>
    <w:p w14:paraId="38E51C85" w14:textId="2C6FF6F8" w:rsidR="005E3921" w:rsidRDefault="00D01BF3" w:rsidP="005E3921">
      <w:r>
        <w:t>The RM ITS-S functionality</w:t>
      </w:r>
      <w:r w:rsidR="005E3921">
        <w:t xml:space="preserve"> </w:t>
      </w:r>
      <w:r w:rsidR="005B0DEB">
        <w:t xml:space="preserve">should be seen as an improvement of the original </w:t>
      </w:r>
      <w:r w:rsidR="005E3921">
        <w:t xml:space="preserve">MCO </w:t>
      </w:r>
      <w:r w:rsidR="005C692B">
        <w:t>f</w:t>
      </w:r>
      <w:r w:rsidR="00267C9C">
        <w:t xml:space="preserve">unctionalities as specified by the set of </w:t>
      </w:r>
      <w:r w:rsidR="005E3921">
        <w:t>MCO</w:t>
      </w:r>
      <w:r w:rsidR="00267C9C">
        <w:t xml:space="preserve"> specifications. </w:t>
      </w:r>
      <w:r w:rsidR="00267C9C" w:rsidRPr="00EE1ABC">
        <w:t>The RM</w:t>
      </w:r>
      <w:r w:rsidR="005E3921" w:rsidRPr="00EE1ABC">
        <w:t xml:space="preserve"> operates by harmonizing dataflow</w:t>
      </w:r>
      <w:r w:rsidR="00EE1ABC" w:rsidRPr="0001185B">
        <w:t>s</w:t>
      </w:r>
      <w:r w:rsidR="005E3921" w:rsidRPr="00EE1ABC">
        <w:t xml:space="preserve"> </w:t>
      </w:r>
      <w:r w:rsidR="00267C9C" w:rsidRPr="00EE1ABC">
        <w:t xml:space="preserve">between message handling </w:t>
      </w:r>
      <w:r w:rsidR="00EE1ABC" w:rsidRPr="0001185B">
        <w:t>services</w:t>
      </w:r>
      <w:r w:rsidR="00EE1ABC" w:rsidRPr="00EE1ABC">
        <w:t xml:space="preserve"> </w:t>
      </w:r>
      <w:r w:rsidR="005E3921" w:rsidRPr="00EE1ABC">
        <w:t xml:space="preserve">to </w:t>
      </w:r>
      <w:r w:rsidR="00267C9C" w:rsidRPr="00EE1ABC">
        <w:t xml:space="preserve">realize improved </w:t>
      </w:r>
      <w:r w:rsidR="0004724F">
        <w:t xml:space="preserve">trustworthiness and QoS </w:t>
      </w:r>
      <w:r w:rsidR="00143B8D">
        <w:t>while making an efficient use of the channels</w:t>
      </w:r>
      <w:r w:rsidR="005E3921" w:rsidRPr="00EE1ABC">
        <w:t>.</w:t>
      </w:r>
      <w:r w:rsidR="005E3921">
        <w:t xml:space="preserve"> It leverages the capabilities of lower layers while supporting </w:t>
      </w:r>
      <w:r w:rsidR="00267C9C">
        <w:t xml:space="preserve">technology agnostic operation of </w:t>
      </w:r>
      <w:r w:rsidR="005E3921">
        <w:t>message-</w:t>
      </w:r>
      <w:r w:rsidR="00267C9C">
        <w:t>disseminating</w:t>
      </w:r>
      <w:r w:rsidR="005E3921">
        <w:t xml:space="preserve"> ITS-S services. This layered approach ensures that resource allocation and communication management remain dynamic, adaptive, and aligned with real-time network conditions. The following </w:t>
      </w:r>
      <w:r w:rsidR="004A3FC7">
        <w:t>clause</w:t>
      </w:r>
      <w:r w:rsidR="005E3921">
        <w:t>s outline key concepts and mechanisms for resource management, drawing analogies to wired network practices while addressing the unique requirements of vehicular networks.</w:t>
      </w:r>
    </w:p>
    <w:p w14:paraId="4883FF18" w14:textId="77777777" w:rsidR="005E3921" w:rsidRDefault="005E3921" w:rsidP="00F140CF">
      <w:pPr>
        <w:pStyle w:val="Heading2"/>
        <w:numPr>
          <w:ilvl w:val="1"/>
          <w:numId w:val="11"/>
        </w:numPr>
        <w:ind w:left="1134"/>
      </w:pPr>
      <w:bookmarkStart w:id="248" w:name="_Toc197337053"/>
      <w:r>
        <w:t>Analogy with Wired Networks</w:t>
      </w:r>
      <w:bookmarkEnd w:id="248"/>
    </w:p>
    <w:p w14:paraId="0ADE2153" w14:textId="7CA7BE46" w:rsidR="005E3921" w:rsidRDefault="005E3921" w:rsidP="005E3921">
      <w:r>
        <w:t xml:space="preserve">Resource management in vehicular networks shares conceptual similarities with wired networks, particularly in the context of resource reservation and QoS. In wired networks, clients request resources for specific flows, defining the flow parameters and QoS requirements. The network evaluates these requests and accepts them only if all nodes along the path can support the resource demands. Nodes include edge and inner nodes ensuring seamless communication. </w:t>
      </w:r>
      <w:r>
        <w:fldChar w:fldCharType="begin"/>
      </w:r>
      <w:r>
        <w:instrText xml:space="preserve"> REF _Ref187222740 \h </w:instrText>
      </w:r>
      <w:r>
        <w:fldChar w:fldCharType="separate"/>
      </w:r>
      <w:r w:rsidR="00CF128B" w:rsidRPr="00191F27">
        <w:t xml:space="preserve">Figure </w:t>
      </w:r>
      <w:r w:rsidR="00CF128B">
        <w:rPr>
          <w:noProof/>
        </w:rPr>
        <w:t>12</w:t>
      </w:r>
      <w:r>
        <w:fldChar w:fldCharType="end"/>
      </w:r>
      <w:r>
        <w:t xml:space="preserve"> illustrates resource reservation for QoS flows in wired networks.</w:t>
      </w:r>
    </w:p>
    <w:p w14:paraId="06B12C52" w14:textId="77777777" w:rsidR="005E3921" w:rsidRDefault="005E3921" w:rsidP="005E3921">
      <w:pPr>
        <w:jc w:val="center"/>
      </w:pPr>
      <w:r>
        <w:rPr>
          <w:noProof/>
          <w:lang w:val="it-IT" w:eastAsia="it-IT"/>
        </w:rPr>
        <w:drawing>
          <wp:inline distT="0" distB="0" distL="0" distR="0" wp14:anchorId="2434A79D" wp14:editId="0589B2A6">
            <wp:extent cx="5040000" cy="1602550"/>
            <wp:effectExtent l="0" t="0" r="0" b="0"/>
            <wp:docPr id="1147141221" name="Imagen 3"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41221" name="Imagen 3" descr="Diagrama&#10;&#10;Descripción generada automáticament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40000" cy="1602550"/>
                    </a:xfrm>
                    <a:prstGeom prst="rect">
                      <a:avLst/>
                    </a:prstGeom>
                    <a:noFill/>
                  </pic:spPr>
                </pic:pic>
              </a:graphicData>
            </a:graphic>
          </wp:inline>
        </w:drawing>
      </w:r>
    </w:p>
    <w:p w14:paraId="55FDFDFC" w14:textId="3E91B79F" w:rsidR="005E3921" w:rsidRPr="0027479C" w:rsidRDefault="005E3921" w:rsidP="005E3921">
      <w:pPr>
        <w:pStyle w:val="Caption"/>
        <w:jc w:val="center"/>
      </w:pPr>
      <w:bookmarkStart w:id="249" w:name="_Ref187222740"/>
      <w:r w:rsidRPr="00191F27">
        <w:t xml:space="preserve">Figure </w:t>
      </w:r>
      <w:r w:rsidR="00115785">
        <w:fldChar w:fldCharType="begin"/>
      </w:r>
      <w:r w:rsidR="00115785">
        <w:instrText xml:space="preserve"> SEQ Figure \* ARABIC </w:instrText>
      </w:r>
      <w:r w:rsidR="00115785">
        <w:fldChar w:fldCharType="separate"/>
      </w:r>
      <w:r w:rsidR="00115785">
        <w:rPr>
          <w:noProof/>
        </w:rPr>
        <w:t>12</w:t>
      </w:r>
      <w:r w:rsidR="00115785">
        <w:rPr>
          <w:noProof/>
        </w:rPr>
        <w:fldChar w:fldCharType="end"/>
      </w:r>
      <w:bookmarkEnd w:id="249"/>
      <w:r w:rsidRPr="00191F27">
        <w:t>:</w:t>
      </w:r>
      <w:r>
        <w:t xml:space="preserve"> </w:t>
      </w:r>
      <w:r w:rsidRPr="00AB444C">
        <w:t>Resource Reservation in Wired Networks</w:t>
      </w:r>
    </w:p>
    <w:p w14:paraId="0C058F3B" w14:textId="65A64D15" w:rsidR="005E3921" w:rsidRDefault="005E3921" w:rsidP="005E3921">
      <w:r>
        <w:t xml:space="preserve">In vehicular networks, this analogy holds with certain adjustments. Here, applications or </w:t>
      </w:r>
      <w:r w:rsidR="00817DD0">
        <w:t xml:space="preserve">ITS-S </w:t>
      </w:r>
      <w:r>
        <w:t xml:space="preserve">services act as clients, requesting resources for message dissemination based on their QoS needs. The </w:t>
      </w:r>
      <w:r w:rsidR="00817DD0">
        <w:t>RM</w:t>
      </w:r>
      <w:r>
        <w:t xml:space="preserve"> evaluates these requests and grants or denies them based on channel availability and service priority. Unlike wired networks, vehicular networks lack intermediate nodes for resource validation. Instead, the system uses </w:t>
      </w:r>
      <w:r w:rsidR="0089222E">
        <w:t xml:space="preserve">channel load </w:t>
      </w:r>
      <w:r>
        <w:t>measurements for resource management. This model supports dynamic and adaptive resource allocation tailored to the real-time demands of vehicular communication systems. </w:t>
      </w:r>
      <w:r>
        <w:fldChar w:fldCharType="begin"/>
      </w:r>
      <w:r>
        <w:instrText xml:space="preserve"> REF _Ref187222738 \h </w:instrText>
      </w:r>
      <w:r>
        <w:fldChar w:fldCharType="separate"/>
      </w:r>
      <w:r w:rsidR="00CF128B" w:rsidRPr="00191F27">
        <w:t xml:space="preserve">Figure </w:t>
      </w:r>
      <w:r w:rsidR="00CF128B">
        <w:rPr>
          <w:noProof/>
        </w:rPr>
        <w:t>13</w:t>
      </w:r>
      <w:r>
        <w:fldChar w:fldCharType="end"/>
      </w:r>
      <w:r>
        <w:t xml:space="preserve"> shows how the concept of resource reservation </w:t>
      </w:r>
      <w:r w:rsidR="0089222E">
        <w:t xml:space="preserve">can be </w:t>
      </w:r>
      <w:r>
        <w:t xml:space="preserve">adapted </w:t>
      </w:r>
      <w:r w:rsidR="0089222E">
        <w:t xml:space="preserve">to </w:t>
      </w:r>
      <w:r>
        <w:t>vehicular networks.</w:t>
      </w:r>
    </w:p>
    <w:p w14:paraId="4C548660" w14:textId="77777777" w:rsidR="005E3921" w:rsidRDefault="005E3921" w:rsidP="005E3921">
      <w:pPr>
        <w:jc w:val="center"/>
      </w:pPr>
      <w:r>
        <w:rPr>
          <w:noProof/>
          <w:lang w:val="it-IT" w:eastAsia="it-IT"/>
        </w:rPr>
        <w:drawing>
          <wp:inline distT="0" distB="0" distL="0" distR="0" wp14:anchorId="416477C6" wp14:editId="70EB14CB">
            <wp:extent cx="5040000" cy="1604634"/>
            <wp:effectExtent l="0" t="0" r="0" b="0"/>
            <wp:docPr id="112577857"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7857" name="Imagen 2" descr="Diagrama&#10;&#10;Descripción generada automáticament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40000" cy="1604634"/>
                    </a:xfrm>
                    <a:prstGeom prst="rect">
                      <a:avLst/>
                    </a:prstGeom>
                    <a:noFill/>
                  </pic:spPr>
                </pic:pic>
              </a:graphicData>
            </a:graphic>
          </wp:inline>
        </w:drawing>
      </w:r>
    </w:p>
    <w:p w14:paraId="61B3F6B3" w14:textId="350972A6" w:rsidR="005E3921" w:rsidRPr="0027479C" w:rsidRDefault="005E3921" w:rsidP="005E3921">
      <w:pPr>
        <w:pStyle w:val="Caption"/>
        <w:jc w:val="center"/>
      </w:pPr>
      <w:bookmarkStart w:id="250" w:name="_Ref187222738"/>
      <w:r w:rsidRPr="00191F27">
        <w:t xml:space="preserve">Figure </w:t>
      </w:r>
      <w:r w:rsidR="00115785">
        <w:fldChar w:fldCharType="begin"/>
      </w:r>
      <w:r w:rsidR="00115785">
        <w:instrText xml:space="preserve"> SEQ Figure \* ARABIC </w:instrText>
      </w:r>
      <w:r w:rsidR="00115785">
        <w:fldChar w:fldCharType="separate"/>
      </w:r>
      <w:r w:rsidR="00115785">
        <w:rPr>
          <w:noProof/>
        </w:rPr>
        <w:t>13</w:t>
      </w:r>
      <w:r w:rsidR="00115785">
        <w:rPr>
          <w:noProof/>
        </w:rPr>
        <w:fldChar w:fldCharType="end"/>
      </w:r>
      <w:bookmarkEnd w:id="250"/>
      <w:r w:rsidRPr="00191F27">
        <w:t>:</w:t>
      </w:r>
      <w:r>
        <w:t xml:space="preserve"> </w:t>
      </w:r>
      <w:r w:rsidRPr="00AB444C">
        <w:t>Resource Reservation Analogy in Vehicular Networks</w:t>
      </w:r>
    </w:p>
    <w:p w14:paraId="375842B3" w14:textId="77777777" w:rsidR="009D0A32" w:rsidRDefault="009D0A32" w:rsidP="005E3921"/>
    <w:p w14:paraId="500C2B76" w14:textId="66C2F448" w:rsidR="005E3921" w:rsidRDefault="00817DD0" w:rsidP="005E3921">
      <w:r>
        <w:t xml:space="preserve">The </w:t>
      </w:r>
      <w:r w:rsidR="0004724F">
        <w:t xml:space="preserve">trustworthiness and QoS </w:t>
      </w:r>
      <w:r>
        <w:t xml:space="preserve">of the vehicular network is not guaranteed by RM. RM is only able to manage and </w:t>
      </w:r>
      <w:r w:rsidR="00A4079E">
        <w:t>supervise</w:t>
      </w:r>
      <w:r>
        <w:t xml:space="preserve"> the dissemination of the messages. In wired vehicular networks the </w:t>
      </w:r>
      <w:r w:rsidR="0004724F">
        <w:t>trustworthiness and QoS are</w:t>
      </w:r>
      <w:r>
        <w:t xml:space="preserve"> fixed by the system design, which is a closed box approach in which it is known what network can be expected at least in terms of congestion.</w:t>
      </w:r>
    </w:p>
    <w:p w14:paraId="0139F282" w14:textId="4A057EDB" w:rsidR="00817DD0" w:rsidRDefault="00817DD0" w:rsidP="005E3921">
      <w:r>
        <w:t>In the ITS, this should also be managed. This management is handled by agreement between the stakeholders what use cases and services are allowed to exchange their message in the specific available radio channel or channels.</w:t>
      </w:r>
    </w:p>
    <w:p w14:paraId="7DEC200F" w14:textId="3587FE34" w:rsidR="005E3921" w:rsidRDefault="005E3921" w:rsidP="00F140CF">
      <w:pPr>
        <w:pStyle w:val="Heading2"/>
        <w:numPr>
          <w:ilvl w:val="1"/>
          <w:numId w:val="11"/>
        </w:numPr>
        <w:ind w:left="1134"/>
      </w:pPr>
      <w:bookmarkStart w:id="251" w:name="_Toc197337054"/>
      <w:r>
        <w:t>Resource Management</w:t>
      </w:r>
      <w:r w:rsidR="00F54E8F">
        <w:t xml:space="preserve"> architecture and its mechanisms</w:t>
      </w:r>
      <w:bookmarkEnd w:id="251"/>
    </w:p>
    <w:p w14:paraId="16243276" w14:textId="77777777" w:rsidR="00BF268C" w:rsidRDefault="00BF268C" w:rsidP="00BF268C"/>
    <w:p w14:paraId="046FDDAF" w14:textId="18529E32" w:rsidR="00BF268C" w:rsidRPr="00BF268C" w:rsidRDefault="00BF268C" w:rsidP="00F140CF">
      <w:pPr>
        <w:pStyle w:val="Heading3"/>
        <w:numPr>
          <w:ilvl w:val="2"/>
          <w:numId w:val="11"/>
        </w:numPr>
        <w:ind w:left="1134"/>
      </w:pPr>
      <w:bookmarkStart w:id="252" w:name="_Toc197337055"/>
      <w:r>
        <w:t>Overview</w:t>
      </w:r>
      <w:bookmarkEnd w:id="252"/>
    </w:p>
    <w:p w14:paraId="7E699952" w14:textId="5E758DCD" w:rsidR="00A4079E" w:rsidRDefault="005E3921" w:rsidP="005E3921">
      <w:r>
        <w:t xml:space="preserve">This </w:t>
      </w:r>
      <w:r w:rsidR="004A3FC7">
        <w:t>clause</w:t>
      </w:r>
      <w:r>
        <w:t xml:space="preserve"> describes mechanisms for resource management that can be part of </w:t>
      </w:r>
      <w:r w:rsidR="00BD2B5D">
        <w:t xml:space="preserve">the </w:t>
      </w:r>
      <w:r w:rsidR="00817DD0">
        <w:t>RM</w:t>
      </w:r>
      <w:r w:rsidR="00BD2B5D">
        <w:t xml:space="preserve"> functionality</w:t>
      </w:r>
      <w:r w:rsidR="00B5435B">
        <w:t>,</w:t>
      </w:r>
      <w:r>
        <w:t xml:space="preserve"> in particular</w:t>
      </w:r>
      <w:r w:rsidR="00B5435B">
        <w:t xml:space="preserve"> mechanisms</w:t>
      </w:r>
      <w:r>
        <w:t xml:space="preserve"> that can be used in Bandwidth Management </w:t>
      </w:r>
      <w:r w:rsidR="00A4079E">
        <w:t>Component</w:t>
      </w:r>
      <w:r>
        <w:t xml:space="preserve"> (BM</w:t>
      </w:r>
      <w:r w:rsidR="00A4079E">
        <w:t>C</w:t>
      </w:r>
      <w:r>
        <w:t xml:space="preserve">) and Message Handling </w:t>
      </w:r>
      <w:r w:rsidR="00BD2B5D">
        <w:t xml:space="preserve">Component </w:t>
      </w:r>
      <w:r>
        <w:t>(MH</w:t>
      </w:r>
      <w:r w:rsidR="00A4079E">
        <w:t>C</w:t>
      </w:r>
      <w:r>
        <w:t>)</w:t>
      </w:r>
      <w:r w:rsidR="00B5435B">
        <w:t xml:space="preserve">, as defined in </w:t>
      </w:r>
      <w:r w:rsidR="003F5C67">
        <w:t xml:space="preserve">the MCO </w:t>
      </w:r>
      <w:r w:rsidR="00BD2B5D">
        <w:t>architecture</w:t>
      </w:r>
      <w:r w:rsidR="00B5435B">
        <w:t>.</w:t>
      </w:r>
      <w:r>
        <w:t xml:space="preserve"> </w:t>
      </w:r>
    </w:p>
    <w:p w14:paraId="1ADABC6E" w14:textId="57785C3C" w:rsidR="00A4079E" w:rsidRDefault="003F5C67" w:rsidP="005E3921">
      <w:r>
        <w:t xml:space="preserve">For the RM, the </w:t>
      </w:r>
      <w:r w:rsidR="005E3921">
        <w:t xml:space="preserve">BME can include functionalities such as Admission Control and Bandwidth Management. </w:t>
      </w:r>
      <w:r w:rsidR="007E0588">
        <w:t xml:space="preserve">These functionalities require the BME to collect application requirements, monitor channel conditions, and configure radio interfaces. </w:t>
      </w:r>
    </w:p>
    <w:p w14:paraId="588EB104" w14:textId="4F07FC99" w:rsidR="00267C9C" w:rsidRDefault="00267C9C" w:rsidP="00F140CF">
      <w:pPr>
        <w:pStyle w:val="ListParagraph"/>
        <w:numPr>
          <w:ilvl w:val="0"/>
          <w:numId w:val="22"/>
        </w:numPr>
      </w:pPr>
      <w:r>
        <w:t xml:space="preserve">The Admission Control </w:t>
      </w:r>
      <w:r w:rsidR="00A4079E">
        <w:t xml:space="preserve">functionality </w:t>
      </w:r>
      <w:r>
        <w:t xml:space="preserve">is critical in regulating resource usage when a service is activated. It evaluates resource availability and prevents the activation of services that exceed current bandwidth or violate predefined priorities or regulatory constraints. See </w:t>
      </w:r>
      <w:r w:rsidR="00A4079E">
        <w:t xml:space="preserve">clause </w:t>
      </w:r>
      <w:r w:rsidR="00A4079E">
        <w:fldChar w:fldCharType="begin"/>
      </w:r>
      <w:r w:rsidR="00A4079E">
        <w:instrText xml:space="preserve"> REF _Ref189993282 \r \h </w:instrText>
      </w:r>
      <w:r w:rsidR="00A4079E">
        <w:fldChar w:fldCharType="separate"/>
      </w:r>
      <w:r w:rsidR="00A4079E">
        <w:t>7.3.1</w:t>
      </w:r>
      <w:r w:rsidR="00A4079E">
        <w:fldChar w:fldCharType="end"/>
      </w:r>
      <w:r w:rsidR="00A4079E">
        <w:t xml:space="preserve"> </w:t>
      </w:r>
      <w:r>
        <w:t xml:space="preserve">for </w:t>
      </w:r>
      <w:r w:rsidR="00A4079E">
        <w:t>details on different admission control</w:t>
      </w:r>
      <w:r>
        <w:t xml:space="preserve"> techniques.</w:t>
      </w:r>
    </w:p>
    <w:p w14:paraId="6E17DF14" w14:textId="738E7376" w:rsidR="003F5C67" w:rsidRDefault="00A4079E" w:rsidP="00F140CF">
      <w:pPr>
        <w:pStyle w:val="ListParagraph"/>
        <w:numPr>
          <w:ilvl w:val="0"/>
          <w:numId w:val="22"/>
        </w:numPr>
      </w:pPr>
      <w:r>
        <w:t>The B</w:t>
      </w:r>
      <w:r w:rsidR="003F5C67">
        <w:t xml:space="preserve">andwidth </w:t>
      </w:r>
      <w:r>
        <w:t>M</w:t>
      </w:r>
      <w:r w:rsidR="003F5C67">
        <w:t xml:space="preserve">anagement </w:t>
      </w:r>
      <w:r>
        <w:t xml:space="preserve">functionality </w:t>
      </w:r>
      <w:r w:rsidR="003F5C67">
        <w:t xml:space="preserve">ensures the adaptive allocation of radio resources to meet varying traffic demands. This mechanism is applied exclusively to services that have been admitted through admission control, ensuring that only authorized services utilize the available bandwidth. Additionally, the priorities of the messages are a key factor in bandwidth management. Higher-priority messages, such as safety-critical notifications (e.g., DENMs), are allocated bandwidth preferentially to ensure timely delivery. By dynamically adjusting resource allocation in real-time based on priorities and current conditions, this approach optimizes performance while adhering to predefined admission policies. This approach adjusts bandwidth allocation in real-time based on service requirements and current conditions. See </w:t>
      </w:r>
      <w:r w:rsidR="00994C93">
        <w:t xml:space="preserve">clause </w:t>
      </w:r>
      <w:r w:rsidR="00994C93">
        <w:fldChar w:fldCharType="begin"/>
      </w:r>
      <w:r w:rsidR="00994C93">
        <w:instrText xml:space="preserve"> REF _Ref189993560 \r \h </w:instrText>
      </w:r>
      <w:r w:rsidR="00994C93">
        <w:fldChar w:fldCharType="separate"/>
      </w:r>
      <w:r w:rsidR="00994C93">
        <w:t>7.3.2</w:t>
      </w:r>
      <w:r w:rsidR="00994C93">
        <w:fldChar w:fldCharType="end"/>
      </w:r>
      <w:r w:rsidR="00994C93">
        <w:t xml:space="preserve"> </w:t>
      </w:r>
      <w:r w:rsidR="003F5C67">
        <w:t xml:space="preserve">for </w:t>
      </w:r>
      <w:r w:rsidR="00994C93">
        <w:t>examples of bandwidth management techniques.</w:t>
      </w:r>
      <w:r w:rsidR="003F5C67">
        <w:t xml:space="preserve"> </w:t>
      </w:r>
    </w:p>
    <w:p w14:paraId="77B31CA6" w14:textId="0E69DA89" w:rsidR="003954C4" w:rsidRDefault="00BD2B5D" w:rsidP="005E3921">
      <w:r>
        <w:t>T</w:t>
      </w:r>
      <w:r w:rsidR="005E3921">
        <w:t xml:space="preserve">he MHE </w:t>
      </w:r>
      <w:r>
        <w:t xml:space="preserve">component </w:t>
      </w:r>
      <w:r w:rsidR="005E3921">
        <w:t>can implement Traffic Shaping and Traffic Policing</w:t>
      </w:r>
      <w:r>
        <w:t xml:space="preserve"> </w:t>
      </w:r>
      <w:r w:rsidR="005E3921">
        <w:t>policies</w:t>
      </w:r>
      <w:r w:rsidR="003954C4">
        <w:t xml:space="preserve"> </w:t>
      </w:r>
      <w:r w:rsidR="005E3921">
        <w:t xml:space="preserve">to manage the transmission of messages effectively, ensuring compliance with the configuration limits set by the BME. </w:t>
      </w:r>
    </w:p>
    <w:p w14:paraId="6710C2AB" w14:textId="56812589" w:rsidR="003954C4" w:rsidRDefault="003954C4" w:rsidP="00F140CF">
      <w:pPr>
        <w:pStyle w:val="ListParagraph"/>
        <w:numPr>
          <w:ilvl w:val="0"/>
          <w:numId w:val="21"/>
        </w:numPr>
      </w:pPr>
      <w:r>
        <w:t xml:space="preserve">The </w:t>
      </w:r>
      <w:r w:rsidR="007E0588">
        <w:t xml:space="preserve">Traffic Shaping </w:t>
      </w:r>
      <w:r>
        <w:t xml:space="preserve">policies can be used to smooth and regulate the traffic generated by each service, buffering or delaying excess traffic to ensure long-term compliance with traffic limits. The MHE can be responsible for performing this task to ensure that each service adheres to its allocated bandwidth and complies with the resource management policies defined by the BME. For common algorithms see clause </w:t>
      </w:r>
      <w:r>
        <w:fldChar w:fldCharType="begin"/>
      </w:r>
      <w:r>
        <w:instrText xml:space="preserve"> REF _Ref189993799 \r \h </w:instrText>
      </w:r>
      <w:r>
        <w:fldChar w:fldCharType="separate"/>
      </w:r>
      <w:r>
        <w:t>7.3.3</w:t>
      </w:r>
      <w:r>
        <w:fldChar w:fldCharType="end"/>
      </w:r>
      <w:r>
        <w:t>.</w:t>
      </w:r>
    </w:p>
    <w:p w14:paraId="12356B07" w14:textId="172B5565" w:rsidR="003954C4" w:rsidRDefault="007E0588" w:rsidP="00F140CF">
      <w:pPr>
        <w:pStyle w:val="ListParagraph"/>
        <w:numPr>
          <w:ilvl w:val="0"/>
          <w:numId w:val="21"/>
        </w:numPr>
      </w:pPr>
      <w:r>
        <w:t xml:space="preserve">Traffic Policing ensures </w:t>
      </w:r>
      <w:r w:rsidR="003954C4">
        <w:t xml:space="preserve">strict traffic limits by marking or discarding excess traffic without buffering. This enforcement guarantees that the aggregation of all the messages generated by the services and sent down to the lower layers operate within their permitted limits, maintaining overall network stability and fairness. See for more details clause </w:t>
      </w:r>
      <w:r w:rsidR="003954C4">
        <w:fldChar w:fldCharType="begin"/>
      </w:r>
      <w:r w:rsidR="003954C4">
        <w:instrText xml:space="preserve"> REF _Ref189993822 \r \h </w:instrText>
      </w:r>
      <w:r w:rsidR="003954C4">
        <w:fldChar w:fldCharType="separate"/>
      </w:r>
      <w:r w:rsidR="003954C4">
        <w:t>7.3.4</w:t>
      </w:r>
      <w:r w:rsidR="003954C4">
        <w:fldChar w:fldCharType="end"/>
      </w:r>
      <w:r>
        <w:t>.</w:t>
      </w:r>
    </w:p>
    <w:p w14:paraId="6696E99D" w14:textId="5D02596C" w:rsidR="005E3921" w:rsidRDefault="005E3921" w:rsidP="005E3921">
      <w:r>
        <w:t xml:space="preserve">These entities work collaboratively to optimize resource allocation and maintain QoS in vehicular communication systems. </w:t>
      </w:r>
      <w:r>
        <w:fldChar w:fldCharType="begin"/>
      </w:r>
      <w:r>
        <w:instrText xml:space="preserve"> REF _Ref187222741 \h </w:instrText>
      </w:r>
      <w:r>
        <w:fldChar w:fldCharType="separate"/>
      </w:r>
      <w:r w:rsidR="00CF128B" w:rsidRPr="00191F27">
        <w:t xml:space="preserve">Figure </w:t>
      </w:r>
      <w:r w:rsidR="00CF128B">
        <w:rPr>
          <w:noProof/>
        </w:rPr>
        <w:t>14</w:t>
      </w:r>
      <w:r>
        <w:fldChar w:fldCharType="end"/>
      </w:r>
      <w:r>
        <w:t xml:space="preserve"> illustrates how these mechanisms could be integrated into the BME and MHE of </w:t>
      </w:r>
      <w:r w:rsidR="00817DD0">
        <w:t>RM</w:t>
      </w:r>
      <w:r>
        <w:t>.</w:t>
      </w:r>
    </w:p>
    <w:p w14:paraId="468D2A24" w14:textId="7477CFD1" w:rsidR="005E3921" w:rsidRDefault="00CF1D69" w:rsidP="005E3921">
      <w:pPr>
        <w:jc w:val="center"/>
      </w:pPr>
      <w:r>
        <w:rPr>
          <w:noProof/>
          <w:lang w:val="it-IT" w:eastAsia="it-IT"/>
        </w:rPr>
        <w:drawing>
          <wp:inline distT="0" distB="0" distL="0" distR="0" wp14:anchorId="64EFD6E3" wp14:editId="31AA64D5">
            <wp:extent cx="4320000" cy="1873906"/>
            <wp:effectExtent l="0" t="0" r="4445" b="0"/>
            <wp:docPr id="3142766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20000" cy="1873906"/>
                    </a:xfrm>
                    <a:prstGeom prst="rect">
                      <a:avLst/>
                    </a:prstGeom>
                    <a:noFill/>
                  </pic:spPr>
                </pic:pic>
              </a:graphicData>
            </a:graphic>
          </wp:inline>
        </w:drawing>
      </w:r>
    </w:p>
    <w:p w14:paraId="30967574" w14:textId="1217EB74" w:rsidR="005E3921" w:rsidRPr="0027479C" w:rsidRDefault="005E3921" w:rsidP="005E3921">
      <w:pPr>
        <w:pStyle w:val="Caption"/>
        <w:jc w:val="center"/>
      </w:pPr>
      <w:bookmarkStart w:id="253" w:name="_Ref187222741"/>
      <w:r w:rsidRPr="00191F27">
        <w:t xml:space="preserve">Figure </w:t>
      </w:r>
      <w:r w:rsidR="00115785">
        <w:fldChar w:fldCharType="begin"/>
      </w:r>
      <w:r w:rsidR="00115785">
        <w:instrText xml:space="preserve"> SEQ Figure \* ARABIC </w:instrText>
      </w:r>
      <w:r w:rsidR="00115785">
        <w:fldChar w:fldCharType="separate"/>
      </w:r>
      <w:r w:rsidR="00115785">
        <w:rPr>
          <w:noProof/>
        </w:rPr>
        <w:t>14</w:t>
      </w:r>
      <w:r w:rsidR="00115785">
        <w:rPr>
          <w:noProof/>
        </w:rPr>
        <w:fldChar w:fldCharType="end"/>
      </w:r>
      <w:bookmarkEnd w:id="253"/>
      <w:r w:rsidRPr="00191F27">
        <w:t>:</w:t>
      </w:r>
      <w:r>
        <w:t xml:space="preserve"> </w:t>
      </w:r>
      <w:r w:rsidR="007E4866">
        <w:t>Architecture and m</w:t>
      </w:r>
      <w:r>
        <w:t xml:space="preserve">echanisms for Resource Management </w:t>
      </w:r>
      <w:r w:rsidR="0062387B">
        <w:t>(</w:t>
      </w:r>
      <w:r w:rsidR="00817DD0">
        <w:t>RM</w:t>
      </w:r>
      <w:r w:rsidR="0062387B">
        <w:t>)</w:t>
      </w:r>
      <w:r w:rsidR="00CF1D69">
        <w:t xml:space="preserve"> at Facilities layer</w:t>
      </w:r>
    </w:p>
    <w:p w14:paraId="1724BCD5" w14:textId="77777777" w:rsidR="005E3921" w:rsidRDefault="005E3921" w:rsidP="005E3921"/>
    <w:p w14:paraId="776CFB1C" w14:textId="154DD8D8" w:rsidR="005E3921" w:rsidRDefault="005E3921" w:rsidP="00F140CF">
      <w:pPr>
        <w:pStyle w:val="Heading3"/>
        <w:numPr>
          <w:ilvl w:val="2"/>
          <w:numId w:val="11"/>
        </w:numPr>
        <w:ind w:left="1134"/>
      </w:pPr>
      <w:bookmarkStart w:id="254" w:name="_Ref189993282"/>
      <w:bookmarkStart w:id="255" w:name="_Toc197337056"/>
      <w:r>
        <w:t>Admission Control</w:t>
      </w:r>
      <w:bookmarkEnd w:id="254"/>
      <w:r w:rsidR="00267C9C">
        <w:t xml:space="preserve"> Techniques.</w:t>
      </w:r>
      <w:bookmarkEnd w:id="255"/>
    </w:p>
    <w:p w14:paraId="7DD1642B" w14:textId="77777777" w:rsidR="005E3921" w:rsidRDefault="005E3921" w:rsidP="005E3921">
      <w:r w:rsidRPr="00EF6C2D">
        <w:rPr>
          <w:b/>
          <w:bCs/>
          <w:i/>
          <w:iCs/>
        </w:rPr>
        <w:t>Peak Resource-Based Admission Control</w:t>
      </w:r>
      <w:r>
        <w:t>: Limits resource allocation based on the peak resource demands of a service. It avoids allocating resources that might exceed network capacity during peak usage periods. A practical example is restricting the activation of multiple service with a high peak message generation rate during a traffic jam.</w:t>
      </w:r>
    </w:p>
    <w:p w14:paraId="64FCC5BF" w14:textId="5D4C521B" w:rsidR="005E3921" w:rsidRDefault="005E3921" w:rsidP="005E3921">
      <w:r>
        <w:rPr>
          <w:b/>
          <w:bCs/>
          <w:i/>
          <w:iCs/>
        </w:rPr>
        <w:t xml:space="preserve">Average </w:t>
      </w:r>
      <w:r w:rsidRPr="00EF6C2D">
        <w:rPr>
          <w:b/>
          <w:bCs/>
          <w:i/>
          <w:iCs/>
        </w:rPr>
        <w:t>Resources Admission Control</w:t>
      </w:r>
      <w:r>
        <w:t xml:space="preserve">: Ensures </w:t>
      </w:r>
      <w:r w:rsidR="002F7804">
        <w:t xml:space="preserve">that </w:t>
      </w:r>
      <w:r w:rsidR="001B42DC">
        <w:t xml:space="preserve">the </w:t>
      </w:r>
      <w:r>
        <w:t>cumulative resource usage remains within bounds by summing up the average resource demands of all active services. This typically involves adding average resource demands, rather than peak values that could be rarely produced. For instance, this method might deactivate a service when the sum of average resources is higher than the available resources.</w:t>
      </w:r>
    </w:p>
    <w:p w14:paraId="503B219A" w14:textId="77777777" w:rsidR="005E3921" w:rsidRDefault="005E3921" w:rsidP="005E3921">
      <w:r w:rsidRPr="00EF6C2D">
        <w:rPr>
          <w:b/>
          <w:bCs/>
          <w:i/>
          <w:iCs/>
        </w:rPr>
        <w:t>Equivalent Bandwidth Admission Control</w:t>
      </w:r>
      <w:r>
        <w:t>: Allocates resources based on the equivalent bandwidth required for a service, considering both average and peak demands. The equivalent bandwidth is calculated by combining the statistical distribution of traffic loads with the desired QoS parameters, such as delay, jitter, and packet loss rate. For example, if a service exhibits bursty traffic patterns, the equivalent bandwidth will factor in both the average rate and a margin to accommodate bursts, ensuring reliable operation. This approach is well-suited for services where peak demands need to be balanced against average usage to optimize resource allocation. This approach provides a more realistic estimation of resource requirements compared to simple peak or average calculations.</w:t>
      </w:r>
    </w:p>
    <w:p w14:paraId="0784FC65" w14:textId="77777777" w:rsidR="005E3921" w:rsidRDefault="005E3921" w:rsidP="005E3921">
      <w:r w:rsidRPr="00EF6C2D">
        <w:rPr>
          <w:b/>
          <w:bCs/>
          <w:i/>
          <w:iCs/>
        </w:rPr>
        <w:t>Statistical Admission Control</w:t>
      </w:r>
      <w:r>
        <w:t>: Utilizes probabilistic models to estimate resource requirements and allocate them based on expected traffic patterns. Unlike equivalent bandwidth control, statistical admission control focuses on the likelihood of multiple services requiring peak resources simultaneously. This approach uses historical data and probability distributions to anticipate resource needs, ensuring that resources are not over-allocated based on rare peak scenarios. In practice, it might prioritize safety-critical messages during periods of high traffic density, while reserving capacity for unexpected spikes in demand.</w:t>
      </w:r>
    </w:p>
    <w:p w14:paraId="32217DFF" w14:textId="53F6C201" w:rsidR="005E3921" w:rsidRDefault="005E3921" w:rsidP="005E3921">
      <w:r w:rsidRPr="00EF6C2D">
        <w:rPr>
          <w:b/>
          <w:bCs/>
          <w:i/>
          <w:iCs/>
        </w:rPr>
        <w:t>Policy-Based Admission Control</w:t>
      </w:r>
      <w:r>
        <w:t>: Implements resource constraints based on pre-defined policies, such as user priority levels or regulatory requirements, ensuring that critical services receive necessary resources. This method can be combined with other admission control mechanisms. For instance, policy-based rules can complement Statistical Admission Control by defining thresholds for resource allocation under specific conditions, such as prioritizing certain messages during congestion. Similarly, it can enhance Equivalent Bandwidth Admission Control by incorporating policies that adjust the equivalent bandwidth calculations based on application-specific or regulatory priorities, ensuring more granular and adaptive resource allocation. For example, a policy might specify that safety-critical messages always have precedence over awareness messages, regardless of statistical or bandwidth estimates.</w:t>
      </w:r>
    </w:p>
    <w:p w14:paraId="69948F82" w14:textId="3C7D854B" w:rsidR="005E3921" w:rsidRDefault="005E3921" w:rsidP="00F140CF">
      <w:pPr>
        <w:pStyle w:val="Heading3"/>
        <w:numPr>
          <w:ilvl w:val="2"/>
          <w:numId w:val="11"/>
        </w:numPr>
        <w:ind w:left="1134"/>
      </w:pPr>
      <w:bookmarkStart w:id="256" w:name="_Toc197337057"/>
      <w:r>
        <w:t>Dynamic Bandwidth Management</w:t>
      </w:r>
      <w:r w:rsidR="003F5C67">
        <w:t xml:space="preserve"> Techniques</w:t>
      </w:r>
      <w:bookmarkEnd w:id="256"/>
    </w:p>
    <w:p w14:paraId="0352581B" w14:textId="77777777" w:rsidR="005E3921" w:rsidRDefault="005E3921" w:rsidP="005E3921">
      <w:r w:rsidRPr="00E271D8">
        <w:rPr>
          <w:b/>
          <w:bCs/>
          <w:i/>
          <w:iCs/>
        </w:rPr>
        <w:t>Proportional Fairness</w:t>
      </w:r>
      <w:r>
        <w:t>: Balances resource distribution equitably among applications and services by ensuring that each of them receives a fair share relative to its needs, promoting overall network efficiency. Message priorities play a critical role in this mechanism. Messages are grouped by their priority levels, and resources are allocated proportionally within each group. For multiple priority levels, higher-priority groups are allocated resources first, and any remaining bandwidth is distributed among lower-priority groups using proportional fairness. For instance, DENMs (high-priority messages) are served first to ensure safety-critical operations, while CAMs and CPMs share the remaining bandwidth in proportion to their demands (assuming that they have the same priority).</w:t>
      </w:r>
    </w:p>
    <w:p w14:paraId="090AAA2D" w14:textId="77777777" w:rsidR="005E3921" w:rsidRDefault="005E3921" w:rsidP="005E3921">
      <w:r w:rsidRPr="00F72277">
        <w:rPr>
          <w:b/>
          <w:bCs/>
          <w:i/>
          <w:iCs/>
        </w:rPr>
        <w:t>Max-Min Fairness</w:t>
      </w:r>
      <w:r>
        <w:t>: Prioritizes applications and services with the least resources by maximizing their resource allocation without significantly impacting others, ensuring minimum fairness for all users. Message priorities are also important in this context. High-priority messages are allocated resources first, ensuring their timely delivery. Once higher-priority demands are satisfied, the remaining resources are distributed among lower-priority messages in a way that maximizes the minimum allocation, ensuring no service is entirely starved of resources.</w:t>
      </w:r>
    </w:p>
    <w:p w14:paraId="792F33D3" w14:textId="77777777" w:rsidR="005E3921" w:rsidRDefault="005E3921" w:rsidP="005E3921">
      <w:r w:rsidRPr="00F72277">
        <w:rPr>
          <w:b/>
          <w:bCs/>
          <w:i/>
          <w:iCs/>
        </w:rPr>
        <w:t>Message Generation Scheduling</w:t>
      </w:r>
      <w:r>
        <w:t>: This advanced technique involves the BME directly controlling the scheduling of message generation by services. The BME considers the available bandwidth, current channel conditions, and message priorities to decide when each service can generate a new message. For instance, higher-priority messages might be scheduled for immediate generation, while lower-priority messages are deferred to avoid congestion. This approach ensures an optimal balance between resource utilization and the timely delivery of high-priority messages.</w:t>
      </w:r>
    </w:p>
    <w:p w14:paraId="220620E7" w14:textId="69131B85" w:rsidR="005E3921" w:rsidRDefault="005E3921" w:rsidP="005E3921">
      <w:r w:rsidRPr="00F72277">
        <w:rPr>
          <w:b/>
          <w:bCs/>
          <w:i/>
          <w:iCs/>
        </w:rPr>
        <w:t>Machine Learning-Based Management</w:t>
      </w:r>
      <w:r>
        <w:t xml:space="preserve">: Applies predictive analytics to forecast traffic patterns and optimize bandwidth allocation proactively. Machine learning algorithms can also account for message priorities by learning from historical traffic patterns and adapting allocation strategies. For example, the system might predict an increase in high-priority messages and </w:t>
      </w:r>
      <w:r w:rsidR="00817DD0">
        <w:t>pre-emptively</w:t>
      </w:r>
      <w:r>
        <w:t xml:space="preserve"> allocate bandwidth to accommodate this demand, ensuring timely message delivery across all priority levels.</w:t>
      </w:r>
    </w:p>
    <w:p w14:paraId="602911D6" w14:textId="46D218F7" w:rsidR="005E3921" w:rsidRDefault="005E3921" w:rsidP="00F140CF">
      <w:pPr>
        <w:pStyle w:val="Heading3"/>
        <w:numPr>
          <w:ilvl w:val="2"/>
          <w:numId w:val="11"/>
        </w:numPr>
        <w:ind w:left="1134"/>
      </w:pPr>
      <w:bookmarkStart w:id="257" w:name="_Ref189993799"/>
      <w:bookmarkStart w:id="258" w:name="_Toc197337058"/>
      <w:r>
        <w:t>Traffic Shaping</w:t>
      </w:r>
      <w:bookmarkEnd w:id="257"/>
      <w:r w:rsidR="00BD2B5D">
        <w:t xml:space="preserve"> Policies</w:t>
      </w:r>
      <w:bookmarkEnd w:id="258"/>
    </w:p>
    <w:p w14:paraId="28A5C0D5" w14:textId="77777777" w:rsidR="005E3921" w:rsidRDefault="005E3921" w:rsidP="005E3921">
      <w:r w:rsidRPr="00F72277">
        <w:rPr>
          <w:b/>
          <w:bCs/>
          <w:i/>
          <w:iCs/>
        </w:rPr>
        <w:t>Token Bucket Algorithm</w:t>
      </w:r>
      <w:r>
        <w:t>: Controls the flow of traffic by allowing bursts within a limit, regulated by token generation rates. The algorithm internally uses tokens, which are generated at a constant rate, to authorize the sending of packets. Each packet consumes a token, and traffic exceeding the token rate is delayed until tokens are available again. This mechanism ensures compliance with average traffic rates while permitting flexibility. For instance, it can handle sudden bursts of messages without disrupting other services.</w:t>
      </w:r>
    </w:p>
    <w:p w14:paraId="79E3825E" w14:textId="77777777" w:rsidR="005E3921" w:rsidRDefault="005E3921" w:rsidP="005E3921">
      <w:r w:rsidRPr="00F72277">
        <w:rPr>
          <w:b/>
          <w:bCs/>
          <w:i/>
          <w:iCs/>
        </w:rPr>
        <w:t>Leaky Bucket Algorithm</w:t>
      </w:r>
      <w:r>
        <w:t>: Smooths traffic by enforcing a constant output rate, discarding excess data beyond the bucket’s capacity. The algorithm uses a fixed-size bucket where packets are added at any rate but are released at a steady, predetermined rate. If the bucket overflows, excess packets are dropped. This ensures a steady flow of traffic and can be used to regulate bursts of messages to avoid network saturation.</w:t>
      </w:r>
    </w:p>
    <w:p w14:paraId="280D4BEF" w14:textId="77777777" w:rsidR="005E3921" w:rsidRDefault="005E3921" w:rsidP="005E3921">
      <w:r w:rsidRPr="00F72277">
        <w:rPr>
          <w:b/>
          <w:bCs/>
          <w:i/>
          <w:iCs/>
        </w:rPr>
        <w:t>Dual Token Bucket Algorithm</w:t>
      </w:r>
      <w:r>
        <w:t>: Combines two token buckets to manage multiple traffic priorities. The primary bucket regulates high-priority traffic, while the secondary bucket manages lower-priority traffic. High-priority traffic consumes tokens from the primary bucket, ensuring prompt transmission, while lower-priority traffic waits until both buckets have sufficient tokens.</w:t>
      </w:r>
    </w:p>
    <w:p w14:paraId="2126C600" w14:textId="77777777" w:rsidR="005E3921" w:rsidRDefault="005E3921" w:rsidP="005E3921">
      <w:r w:rsidRPr="00D13911">
        <w:rPr>
          <w:b/>
          <w:bCs/>
          <w:i/>
          <w:iCs/>
        </w:rPr>
        <w:t>Virtual Scheduling Algorithm</w:t>
      </w:r>
      <w:r>
        <w:t>: Simulates scheduling in a virtual timeline, ensuring fair distribution of resources by assigning each packet a virtual departure time. Packets are sent in the order of their virtual departure times, maintaining compliance with predefined traffic limits. This could prioritize transmission of event-driven messages over general status updates, ensuring timely delivery of essential information.</w:t>
      </w:r>
    </w:p>
    <w:p w14:paraId="6786ADFD" w14:textId="77777777" w:rsidR="005E3921" w:rsidRDefault="005E3921" w:rsidP="005E3921">
      <w:r w:rsidRPr="00D13911">
        <w:rPr>
          <w:b/>
          <w:bCs/>
          <w:i/>
          <w:iCs/>
        </w:rPr>
        <w:t>Generic Cell Rate Algorithm (GCRA)</w:t>
      </w:r>
      <w:r>
        <w:t>: Monitors and regulates traffic based on cell arrival times to ensure adherence to the specified rate and burst tolerance. GCRA uses a virtual scheduling mechanism to check if incoming packets comply with the configured traffic profile. Non-compliant packets are either dropped or marked.</w:t>
      </w:r>
    </w:p>
    <w:p w14:paraId="4FB57B67" w14:textId="1D139CA1" w:rsidR="005E3921" w:rsidRDefault="005E3921" w:rsidP="005E3921">
      <w:r w:rsidRPr="00D13911">
        <w:rPr>
          <w:b/>
          <w:bCs/>
          <w:i/>
          <w:iCs/>
        </w:rPr>
        <w:t>Sliding Window Algorithm</w:t>
      </w:r>
      <w:r>
        <w:t>: Controls the rate of data transmission by monitoring traffic over a moving time window. It calculates the volume of data sent during the window and ensures it does not exceed a predefined threshold. If traffic exceeds the limit, packets are delayed or dropped. This technique can be employed to manage the steady flow of messages from vehicles during a convoy, maintaining a balance between throughput and compliance with traffic limits.</w:t>
      </w:r>
    </w:p>
    <w:p w14:paraId="004C04D9" w14:textId="197F5CEC" w:rsidR="005E3921" w:rsidRDefault="005E3921" w:rsidP="00F140CF">
      <w:pPr>
        <w:pStyle w:val="Heading3"/>
        <w:numPr>
          <w:ilvl w:val="2"/>
          <w:numId w:val="11"/>
        </w:numPr>
        <w:ind w:left="1134"/>
      </w:pPr>
      <w:bookmarkStart w:id="259" w:name="_Ref189993822"/>
      <w:bookmarkStart w:id="260" w:name="_Toc197337059"/>
      <w:r>
        <w:t>Traffic Policing</w:t>
      </w:r>
      <w:bookmarkEnd w:id="259"/>
      <w:r w:rsidR="00BD2B5D">
        <w:t xml:space="preserve"> Policies</w:t>
      </w:r>
      <w:bookmarkEnd w:id="260"/>
    </w:p>
    <w:p w14:paraId="7F62B7EB" w14:textId="70C90AAE" w:rsidR="005E3921" w:rsidRDefault="005E3921" w:rsidP="005E3921">
      <w:r>
        <w:t xml:space="preserve">Unlike traffic shaping, which smooths traffic over time by buffering excess data, traffic policing focuses on immediate compliance by dropping or marking traffic that exceeds the defined limits. This ensures that the system adheres strictly to resource policies without introducing delays caused by buffering. </w:t>
      </w:r>
      <w:r w:rsidRPr="00C0350B">
        <w:t xml:space="preserve">Traffic policing mechanisms often include techniques similar to those used in traffic shaping, such as the Token Bucket and Leaky Bucket algorithms. However, in traffic policing, these mechanisms enforce strict limits by discarding non-compliant packets instead of buffering them. </w:t>
      </w:r>
      <w:r>
        <w:fldChar w:fldCharType="begin"/>
      </w:r>
      <w:r>
        <w:instrText xml:space="preserve"> REF _Ref187223868 \h </w:instrText>
      </w:r>
      <w:r>
        <w:fldChar w:fldCharType="separate"/>
      </w:r>
      <w:r w:rsidR="00CF128B" w:rsidRPr="00191F27">
        <w:t xml:space="preserve">Figure </w:t>
      </w:r>
      <w:r w:rsidR="00CF128B">
        <w:rPr>
          <w:noProof/>
        </w:rPr>
        <w:t>15</w:t>
      </w:r>
      <w:r>
        <w:fldChar w:fldCharType="end"/>
      </w:r>
      <w:r>
        <w:t xml:space="preserve"> illustrates the differences between traffic policing and shaping when they are applied to the same message flow. In the figure, the vertical axes represent the message rate, and the horizontal axes represent the time.</w:t>
      </w:r>
    </w:p>
    <w:p w14:paraId="5E70C95E" w14:textId="77777777" w:rsidR="005B21F8" w:rsidRDefault="005B21F8" w:rsidP="005E3921"/>
    <w:p w14:paraId="0936B055" w14:textId="77777777" w:rsidR="005E3921" w:rsidRDefault="005E3921" w:rsidP="005E3921">
      <w:pPr>
        <w:jc w:val="center"/>
      </w:pPr>
      <w:r>
        <w:rPr>
          <w:noProof/>
          <w:lang w:val="it-IT" w:eastAsia="it-IT"/>
        </w:rPr>
        <w:drawing>
          <wp:inline distT="0" distB="0" distL="0" distR="0" wp14:anchorId="7E268B18" wp14:editId="27B3172C">
            <wp:extent cx="3301340" cy="1557628"/>
            <wp:effectExtent l="0" t="0" r="0" b="5080"/>
            <wp:docPr id="277799912" name="Imagen 5" descr="Gráfico, Gráfico de líne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99912" name="Imagen 5" descr="Gráfico, Gráfico de líneas&#10;&#10;Descripción generada automáticament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4863" cy="1564008"/>
                    </a:xfrm>
                    <a:prstGeom prst="rect">
                      <a:avLst/>
                    </a:prstGeom>
                    <a:noFill/>
                    <a:ln>
                      <a:noFill/>
                    </a:ln>
                  </pic:spPr>
                </pic:pic>
              </a:graphicData>
            </a:graphic>
          </wp:inline>
        </w:drawing>
      </w:r>
    </w:p>
    <w:p w14:paraId="1217556B" w14:textId="03C061DE" w:rsidR="005E3921" w:rsidRDefault="005E3921" w:rsidP="005E3921">
      <w:pPr>
        <w:pStyle w:val="Caption"/>
        <w:jc w:val="center"/>
      </w:pPr>
      <w:bookmarkStart w:id="261" w:name="_Ref187223868"/>
      <w:r w:rsidRPr="00191F27">
        <w:t xml:space="preserve">Figure </w:t>
      </w:r>
      <w:r w:rsidR="00115785">
        <w:fldChar w:fldCharType="begin"/>
      </w:r>
      <w:r w:rsidR="00115785">
        <w:instrText xml:space="preserve"> SEQ Figure \* ARABIC </w:instrText>
      </w:r>
      <w:r w:rsidR="00115785">
        <w:fldChar w:fldCharType="separate"/>
      </w:r>
      <w:r w:rsidR="00115785">
        <w:rPr>
          <w:noProof/>
        </w:rPr>
        <w:t>15</w:t>
      </w:r>
      <w:r w:rsidR="00115785">
        <w:rPr>
          <w:noProof/>
        </w:rPr>
        <w:fldChar w:fldCharType="end"/>
      </w:r>
      <w:bookmarkEnd w:id="261"/>
      <w:r w:rsidRPr="00191F27">
        <w:t>:</w:t>
      </w:r>
      <w:r>
        <w:t xml:space="preserve"> Effect of traffic Policing and Shaping on a message flow</w:t>
      </w:r>
    </w:p>
    <w:p w14:paraId="6D8F89B5" w14:textId="77777777" w:rsidR="005B21F8" w:rsidRPr="005B21F8" w:rsidRDefault="005B21F8" w:rsidP="009042C0"/>
    <w:p w14:paraId="2C55097E" w14:textId="0C43BE77" w:rsidR="005B21F8" w:rsidRDefault="009042C0" w:rsidP="00F140CF">
      <w:pPr>
        <w:pStyle w:val="Heading3"/>
        <w:numPr>
          <w:ilvl w:val="2"/>
          <w:numId w:val="11"/>
        </w:numPr>
        <w:ind w:left="1134"/>
      </w:pPr>
      <w:bookmarkStart w:id="262" w:name="_Ref192493389"/>
      <w:bookmarkStart w:id="263" w:name="_Toc197337060"/>
      <w:r>
        <w:t xml:space="preserve">A </w:t>
      </w:r>
      <w:r w:rsidR="005B21F8">
        <w:t>Basic solution</w:t>
      </w:r>
      <w:bookmarkEnd w:id="262"/>
      <w:bookmarkEnd w:id="263"/>
    </w:p>
    <w:p w14:paraId="5559E723" w14:textId="77777777" w:rsidR="005B21F8" w:rsidRDefault="005B21F8" w:rsidP="005B21F8">
      <w:r>
        <w:t>While RM can become highly complex when all functionalities are implemented in detail, a basic yet effective approach is achievable by focusing on essential requirements. The key idea is to implement a simple RM mechanism that still fulfils necessary operational and regulatory needs without the overhead of full complexity.</w:t>
      </w:r>
    </w:p>
    <w:p w14:paraId="750504AD" w14:textId="77777777" w:rsidR="005B21F8" w:rsidRDefault="005B21F8" w:rsidP="005B21F8">
      <w:r>
        <w:t>At the core of a basic solution is the division of functions between two primary components: Admission Control and Bandwidth Management. Admission Control serves as the initial gatekeeper by applying straightforward policies to regulate service activation. For example, it may restrict the activation of certain services in some regions, or the simultaneous activation of multiple services in scenarios where their combined transmission rates might exceed system limits. This regulation ensures that certain services are either disallowed in specific regions or managed to avoid extreme cases, such as preventing three services transmitting at high frequencies when the overall system can only support a lower cumulative rate.</w:t>
      </w:r>
    </w:p>
    <w:p w14:paraId="5C914E51" w14:textId="77777777" w:rsidR="005B21F8" w:rsidRDefault="005B21F8" w:rsidP="005B21F8">
      <w:r>
        <w:t xml:space="preserve">Once services pass through Admission Control, the Bandwidth Management component could allocate the available resources based on proportional fairness. In this approach, the system calculates (at the Access or Facilities layer, see clause </w:t>
      </w:r>
      <w:r>
        <w:fldChar w:fldCharType="begin"/>
      </w:r>
      <w:r>
        <w:instrText xml:space="preserve"> REF _Ref192491857 \r \h </w:instrText>
      </w:r>
      <w:r>
        <w:fldChar w:fldCharType="separate"/>
      </w:r>
      <w:r>
        <w:t>5.5</w:t>
      </w:r>
      <w:r>
        <w:fldChar w:fldCharType="end"/>
      </w:r>
      <w:r>
        <w:t xml:space="preserve">) the resources available for the ITS-S according to the current channel load and distributes it among the active services according to their priority and recent resource usage. The distribution continues in a tiered fashion, starting with the highest priority services, and if any resources remain, they are assigned to lower priority services. Each service then receives an allocation expressed as e.g. bits per second, which is derived from translating the computed resources and the ALI with the table discussed in clause </w:t>
      </w:r>
      <w:r>
        <w:fldChar w:fldCharType="begin"/>
      </w:r>
      <w:r>
        <w:instrText xml:space="preserve"> REF _Ref192491857 \r \h </w:instrText>
      </w:r>
      <w:r>
        <w:fldChar w:fldCharType="separate"/>
      </w:r>
      <w:r>
        <w:t>5.5</w:t>
      </w:r>
      <w:r>
        <w:fldChar w:fldCharType="end"/>
      </w:r>
      <w:r>
        <w:t>. While a fixed ALI might be sufficient for basic implementations, more advanced setups could dynamically adjust the ALI based on factors like available bandwidth, radio access technology, or modulation and coding schemes.</w:t>
      </w:r>
    </w:p>
    <w:p w14:paraId="4D7661CD" w14:textId="77777777" w:rsidR="005B21F8" w:rsidRDefault="005B21F8" w:rsidP="005B21F8">
      <w:pPr>
        <w:keepNext/>
        <w:jc w:val="center"/>
      </w:pPr>
      <w:r>
        <w:rPr>
          <w:noProof/>
          <w:lang w:val="it-IT" w:eastAsia="it-IT"/>
        </w:rPr>
        <w:drawing>
          <wp:inline distT="0" distB="0" distL="0" distR="0" wp14:anchorId="32C3AECF" wp14:editId="073259C4">
            <wp:extent cx="3600000" cy="2300146"/>
            <wp:effectExtent l="0" t="0" r="635" b="5080"/>
            <wp:docPr id="1193763739" name="Imagen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763739" name="Imagen 2" descr="A screenshot of a computer&#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00000" cy="2300146"/>
                    </a:xfrm>
                    <a:prstGeom prst="rect">
                      <a:avLst/>
                    </a:prstGeom>
                    <a:noFill/>
                  </pic:spPr>
                </pic:pic>
              </a:graphicData>
            </a:graphic>
          </wp:inline>
        </w:drawing>
      </w:r>
    </w:p>
    <w:p w14:paraId="5192D049" w14:textId="1E0823F7" w:rsidR="005B21F8" w:rsidRPr="0027479C" w:rsidRDefault="005B21F8" w:rsidP="005B21F8">
      <w:pPr>
        <w:pStyle w:val="Caption"/>
        <w:jc w:val="center"/>
      </w:pPr>
      <w:r w:rsidRPr="00191F27">
        <w:t xml:space="preserve">Figure </w:t>
      </w:r>
      <w:r w:rsidR="00115785">
        <w:fldChar w:fldCharType="begin"/>
      </w:r>
      <w:r w:rsidR="00115785">
        <w:instrText xml:space="preserve"> SEQ Figure \* ARABIC </w:instrText>
      </w:r>
      <w:r w:rsidR="00115785">
        <w:fldChar w:fldCharType="separate"/>
      </w:r>
      <w:r w:rsidR="00115785">
        <w:rPr>
          <w:noProof/>
        </w:rPr>
        <w:t>16</w:t>
      </w:r>
      <w:r w:rsidR="00115785">
        <w:rPr>
          <w:noProof/>
        </w:rPr>
        <w:fldChar w:fldCharType="end"/>
      </w:r>
      <w:r w:rsidRPr="00191F27">
        <w:t>:</w:t>
      </w:r>
      <w:r>
        <w:t xml:space="preserve"> Example of basic bandwidth management</w:t>
      </w:r>
    </w:p>
    <w:p w14:paraId="6B88B091" w14:textId="77777777" w:rsidR="008951D1" w:rsidRDefault="008951D1" w:rsidP="008951D1"/>
    <w:p w14:paraId="2E6D68C0" w14:textId="592565C8" w:rsidR="007566DA" w:rsidRDefault="008951D1" w:rsidP="00467DC7">
      <w:pPr>
        <w:rPr>
          <w:lang w:val="en-US"/>
        </w:rPr>
      </w:pPr>
      <w:r>
        <w:t xml:space="preserve">A more detailed operation of </w:t>
      </w:r>
      <w:r w:rsidRPr="00467DC7">
        <w:t xml:space="preserve">the bandwidth management performed by RM is illustrated in </w:t>
      </w:r>
      <w:r w:rsidR="00467DC7" w:rsidRPr="00467DC7">
        <w:fldChar w:fldCharType="begin"/>
      </w:r>
      <w:r w:rsidR="00467DC7" w:rsidRPr="00467DC7">
        <w:instrText xml:space="preserve"> REF _Ref196898590 \h </w:instrText>
      </w:r>
      <w:r w:rsidR="00467DC7" w:rsidRPr="00D63404">
        <w:instrText xml:space="preserve"> \* MERGEFORMAT </w:instrText>
      </w:r>
      <w:r w:rsidR="00467DC7" w:rsidRPr="00467DC7">
        <w:fldChar w:fldCharType="separate"/>
      </w:r>
      <w:r w:rsidR="00CF128B" w:rsidRPr="00191F27">
        <w:t xml:space="preserve">Figure </w:t>
      </w:r>
      <w:r w:rsidR="00CF128B">
        <w:rPr>
          <w:noProof/>
        </w:rPr>
        <w:t>16</w:t>
      </w:r>
      <w:r w:rsidR="00467DC7" w:rsidRPr="00467DC7">
        <w:fldChar w:fldCharType="end"/>
      </w:r>
      <w:r w:rsidR="00467DC7" w:rsidRPr="00467DC7">
        <w:t xml:space="preserve">. </w:t>
      </w:r>
      <w:r w:rsidR="00F378DD" w:rsidRPr="00F378DD">
        <w:rPr>
          <w:lang w:val="en-US"/>
        </w:rPr>
        <w:t>As</w:t>
      </w:r>
      <w:r w:rsidR="00467DC7" w:rsidRPr="00D63404">
        <w:rPr>
          <w:lang w:val="en-US"/>
        </w:rPr>
        <w:t xml:space="preserve"> can be observed, during the first RM interval</w:t>
      </w:r>
      <w:r w:rsidR="00517C20">
        <w:rPr>
          <w:lang w:val="en-US"/>
        </w:rPr>
        <w:t xml:space="preserve">, </w:t>
      </w:r>
      <w:r w:rsidR="00517C20" w:rsidRPr="00D63404">
        <w:rPr>
          <w:i/>
          <w:iCs/>
          <w:lang w:val="en-US"/>
        </w:rPr>
        <w:t>t</w:t>
      </w:r>
      <w:r w:rsidR="00517C20">
        <w:rPr>
          <w:lang w:val="en-US"/>
        </w:rPr>
        <w:t>=[</w:t>
      </w:r>
      <w:r w:rsidR="00183025">
        <w:rPr>
          <w:lang w:val="en-US"/>
        </w:rPr>
        <w:t>0, ∆</w:t>
      </w:r>
      <w:r w:rsidR="00517C20" w:rsidRPr="00D63404">
        <w:rPr>
          <w:i/>
          <w:iCs/>
          <w:lang w:val="en-US"/>
        </w:rPr>
        <w:t>T</w:t>
      </w:r>
      <w:r w:rsidR="00517C20">
        <w:rPr>
          <w:lang w:val="en-US"/>
        </w:rPr>
        <w:t>)</w:t>
      </w:r>
      <w:r w:rsidR="00467DC7" w:rsidRPr="00D63404">
        <w:rPr>
          <w:lang w:val="en-US"/>
        </w:rPr>
        <w:t xml:space="preserve">, there is no information yet available about the current channel load, so all services operate in an open-loop mode—each one generating </w:t>
      </w:r>
      <w:r w:rsidR="00D63404" w:rsidRPr="00D63404">
        <w:rPr>
          <w:lang w:val="en-US"/>
        </w:rPr>
        <w:t>message</w:t>
      </w:r>
      <w:r w:rsidR="00467DC7" w:rsidRPr="00D63404">
        <w:rPr>
          <w:lang w:val="en-US"/>
        </w:rPr>
        <w:t xml:space="preserve"> according to its default </w:t>
      </w:r>
      <w:r w:rsidR="00517C20" w:rsidRPr="00517C20">
        <w:rPr>
          <w:lang w:val="en-US"/>
        </w:rPr>
        <w:t>behavior</w:t>
      </w:r>
      <w:r w:rsidR="00467DC7" w:rsidRPr="00D63404">
        <w:rPr>
          <w:lang w:val="en-US"/>
        </w:rPr>
        <w:t xml:space="preserve"> or immediate needs. At the end of this first interval</w:t>
      </w:r>
      <w:r w:rsidR="00225171">
        <w:rPr>
          <w:lang w:val="en-US"/>
        </w:rPr>
        <w:t xml:space="preserve">, </w:t>
      </w:r>
      <w:r w:rsidR="00225171" w:rsidRPr="0071474E">
        <w:rPr>
          <w:i/>
          <w:iCs/>
          <w:lang w:val="en-US"/>
        </w:rPr>
        <w:t>t</w:t>
      </w:r>
      <w:r w:rsidR="00225171">
        <w:rPr>
          <w:lang w:val="en-US"/>
        </w:rPr>
        <w:t>=∆</w:t>
      </w:r>
      <w:r w:rsidR="00225171" w:rsidRPr="0071474E">
        <w:rPr>
          <w:i/>
          <w:iCs/>
          <w:lang w:val="en-US"/>
        </w:rPr>
        <w:t>T</w:t>
      </w:r>
      <w:r w:rsidR="00467DC7" w:rsidRPr="00D63404">
        <w:rPr>
          <w:lang w:val="en-US"/>
        </w:rPr>
        <w:t xml:space="preserve">, the RM module obtains a new channel load measurement and collects the individual </w:t>
      </w:r>
      <w:r w:rsidR="00225171">
        <w:rPr>
          <w:lang w:val="en-US"/>
        </w:rPr>
        <w:t>resource needs</w:t>
      </w:r>
      <w:r w:rsidR="00467DC7" w:rsidRPr="00D63404">
        <w:rPr>
          <w:lang w:val="en-US"/>
        </w:rPr>
        <w:t xml:space="preserve"> </w:t>
      </w:r>
      <w:r w:rsidR="00467DC7" w:rsidRPr="00D63404">
        <w:rPr>
          <w:i/>
          <w:iCs/>
          <w:lang w:val="en-US"/>
        </w:rPr>
        <w:t>R</w:t>
      </w:r>
      <w:r w:rsidR="00467DC7" w:rsidRPr="00D63404">
        <w:rPr>
          <w:i/>
          <w:iCs/>
          <w:vertAlign w:val="subscript"/>
          <w:lang w:val="en-US"/>
        </w:rPr>
        <w:t>i</w:t>
      </w:r>
      <w:r w:rsidR="00467DC7" w:rsidRPr="00D63404">
        <w:rPr>
          <w:lang w:val="en-US"/>
        </w:rPr>
        <w:t xml:space="preserve"> from </w:t>
      </w:r>
      <w:r w:rsidR="00467DC7">
        <w:rPr>
          <w:lang w:val="en-US"/>
        </w:rPr>
        <w:t>each</w:t>
      </w:r>
      <w:r w:rsidR="00467DC7" w:rsidRPr="00D63404">
        <w:rPr>
          <w:lang w:val="en-US"/>
        </w:rPr>
        <w:t xml:space="preserve"> active service</w:t>
      </w:r>
      <w:r w:rsidR="00467DC7">
        <w:rPr>
          <w:lang w:val="en-US"/>
        </w:rPr>
        <w:t xml:space="preserve"> </w:t>
      </w:r>
      <w:r w:rsidR="00467DC7" w:rsidRPr="00D63404">
        <w:rPr>
          <w:i/>
          <w:iCs/>
          <w:lang w:val="en-US"/>
        </w:rPr>
        <w:t>i</w:t>
      </w:r>
      <w:r w:rsidR="00467DC7" w:rsidRPr="00D63404">
        <w:rPr>
          <w:lang w:val="en-US"/>
        </w:rPr>
        <w:t xml:space="preserve">. Based on the aggregate demand </w:t>
      </w:r>
      <m:oMath>
        <m:r>
          <w:rPr>
            <w:rFonts w:ascii="Cambria Math" w:hAnsi="Cambria Math"/>
            <w:lang w:val="en-US"/>
          </w:rPr>
          <m:t>R=</m:t>
        </m:r>
        <m:nary>
          <m:naryPr>
            <m:chr m:val="∑"/>
            <m:limLoc m:val="subSup"/>
            <m:supHide m:val="1"/>
            <m:ctrlPr>
              <w:rPr>
                <w:rFonts w:ascii="Cambria Math" w:hAnsi="Cambria Math"/>
                <w:i/>
                <w:lang w:val="en-US"/>
              </w:rPr>
            </m:ctrlPr>
          </m:naryPr>
          <m:sub>
            <m:r>
              <w:rPr>
                <w:rFonts w:ascii="Cambria Math" w:hAnsi="Cambria Math"/>
                <w:lang w:val="en-US"/>
              </w:rPr>
              <m:t>i</m:t>
            </m:r>
          </m:sub>
          <m:sup/>
          <m:e>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e>
        </m:nary>
      </m:oMath>
      <w:r w:rsidR="00467DC7" w:rsidRPr="00D63404">
        <w:rPr>
          <w:lang w:val="en-US"/>
        </w:rPr>
        <w:t xml:space="preserve">​, </w:t>
      </w:r>
      <w:r w:rsidR="00F378DD">
        <w:rPr>
          <w:lang w:val="en-US"/>
        </w:rPr>
        <w:t xml:space="preserve">and the channel load, </w:t>
      </w:r>
      <w:r w:rsidR="00467DC7" w:rsidRPr="00D63404">
        <w:rPr>
          <w:lang w:val="en-US"/>
        </w:rPr>
        <w:t xml:space="preserve">RM computes </w:t>
      </w:r>
      <w:r w:rsidR="00F378DD">
        <w:rPr>
          <w:lang w:val="en-US"/>
        </w:rPr>
        <w:t>the available resources for the station and for each service</w:t>
      </w:r>
      <w:r w:rsidR="007566DA">
        <w:rPr>
          <w:lang w:val="en-US"/>
        </w:rPr>
        <w:t xml:space="preserve">, referred to as </w:t>
      </w:r>
      <w:r w:rsidR="007566DA" w:rsidRPr="00D63404">
        <w:rPr>
          <w:i/>
          <w:iCs/>
          <w:lang w:val="en-US"/>
        </w:rPr>
        <w:t>CR</w:t>
      </w:r>
      <w:r w:rsidR="007566DA" w:rsidRPr="00D63404">
        <w:rPr>
          <w:i/>
          <w:iCs/>
          <w:vertAlign w:val="subscript"/>
          <w:lang w:val="en-US"/>
        </w:rPr>
        <w:t>i</w:t>
      </w:r>
      <w:r w:rsidR="007566DA">
        <w:rPr>
          <w:lang w:val="en-US"/>
        </w:rPr>
        <w:t xml:space="preserve"> for service </w:t>
      </w:r>
      <w:r w:rsidR="007566DA" w:rsidRPr="00D63404">
        <w:rPr>
          <w:i/>
          <w:iCs/>
          <w:lang w:val="en-US"/>
        </w:rPr>
        <w:t>i</w:t>
      </w:r>
      <w:r w:rsidR="00F378DD">
        <w:rPr>
          <w:lang w:val="en-US"/>
        </w:rPr>
        <w:t xml:space="preserve">. </w:t>
      </w:r>
      <w:r w:rsidR="00467DC7" w:rsidRPr="00D63404">
        <w:rPr>
          <w:lang w:val="en-US"/>
        </w:rPr>
        <w:t>In the second RM interval</w:t>
      </w:r>
      <w:r w:rsidR="007566DA">
        <w:rPr>
          <w:lang w:val="en-US"/>
        </w:rPr>
        <w:t xml:space="preserve">, </w:t>
      </w:r>
      <w:r w:rsidR="007566DA" w:rsidRPr="0071474E">
        <w:rPr>
          <w:i/>
          <w:iCs/>
          <w:lang w:val="en-US"/>
        </w:rPr>
        <w:t>t</w:t>
      </w:r>
      <w:r w:rsidR="007566DA">
        <w:rPr>
          <w:lang w:val="en-US"/>
        </w:rPr>
        <w:t>=[∆</w:t>
      </w:r>
      <w:r w:rsidR="007566DA" w:rsidRPr="0071474E">
        <w:rPr>
          <w:i/>
          <w:iCs/>
          <w:lang w:val="en-US"/>
        </w:rPr>
        <w:t>T</w:t>
      </w:r>
      <w:r w:rsidR="007566DA">
        <w:rPr>
          <w:lang w:val="en-US"/>
        </w:rPr>
        <w:t>,2∆</w:t>
      </w:r>
      <w:r w:rsidR="007566DA" w:rsidRPr="0071474E">
        <w:rPr>
          <w:i/>
          <w:iCs/>
          <w:lang w:val="en-US"/>
        </w:rPr>
        <w:t>T</w:t>
      </w:r>
      <w:r w:rsidR="007566DA">
        <w:rPr>
          <w:lang w:val="en-US"/>
        </w:rPr>
        <w:t>)</w:t>
      </w:r>
      <w:r w:rsidR="007566DA" w:rsidRPr="0071474E">
        <w:rPr>
          <w:lang w:val="en-US"/>
        </w:rPr>
        <w:t>,</w:t>
      </w:r>
      <w:r w:rsidR="00467DC7" w:rsidRPr="00D63404">
        <w:rPr>
          <w:lang w:val="en-US"/>
        </w:rPr>
        <w:t xml:space="preserve"> services adjust their message generation rates according to the assigned </w:t>
      </w:r>
      <w:r w:rsidR="007566DA" w:rsidRPr="00D63404">
        <w:rPr>
          <w:lang w:val="en-US"/>
        </w:rPr>
        <w:t>resources</w:t>
      </w:r>
      <w:r w:rsidR="00467DC7" w:rsidRPr="00D63404">
        <w:rPr>
          <w:lang w:val="en-US"/>
        </w:rPr>
        <w:t xml:space="preserve">​, thereby entering a closed-loop control phase. At the end of this second interval, the process is repeated: a new measurement of the channel load is taken, updated service demands are reported, and RM recomputes </w:t>
      </w:r>
      <w:r w:rsidR="007566DA">
        <w:rPr>
          <w:lang w:val="en-US"/>
        </w:rPr>
        <w:t xml:space="preserve">the available resources for the station and for each service. </w:t>
      </w:r>
    </w:p>
    <w:p w14:paraId="2B7958F3" w14:textId="746DFCA2" w:rsidR="007A6FA6" w:rsidRPr="0071474E" w:rsidRDefault="007A6FA6" w:rsidP="007A6FA6">
      <w:pPr>
        <w:rPr>
          <w:lang w:val="en-US"/>
        </w:rPr>
      </w:pPr>
      <w:r w:rsidRPr="0071474E">
        <w:rPr>
          <w:lang w:val="en-US"/>
        </w:rPr>
        <w:t xml:space="preserve">This </w:t>
      </w:r>
      <w:r>
        <w:rPr>
          <w:lang w:val="en-US"/>
        </w:rPr>
        <w:t xml:space="preserve">approach that computes the available resources for the station at the Facilities layer opens the door to handle scenarios with heterogeneous resource needs (see clause </w:t>
      </w:r>
      <w:r>
        <w:rPr>
          <w:lang w:val="en-US"/>
        </w:rPr>
        <w:fldChar w:fldCharType="begin"/>
      </w:r>
      <w:r>
        <w:rPr>
          <w:lang w:val="en-US"/>
        </w:rPr>
        <w:instrText xml:space="preserve"> REF _Ref196899655 \n \h </w:instrText>
      </w:r>
      <w:r>
        <w:rPr>
          <w:lang w:val="en-US"/>
        </w:rPr>
      </w:r>
      <w:r>
        <w:rPr>
          <w:lang w:val="en-US"/>
        </w:rPr>
        <w:fldChar w:fldCharType="separate"/>
      </w:r>
      <w:r>
        <w:rPr>
          <w:lang w:val="en-US"/>
        </w:rPr>
        <w:t>6.4</w:t>
      </w:r>
      <w:r>
        <w:rPr>
          <w:lang w:val="en-US"/>
        </w:rPr>
        <w:fldChar w:fldCharType="end"/>
      </w:r>
      <w:r>
        <w:rPr>
          <w:lang w:val="en-US"/>
        </w:rPr>
        <w:t>)</w:t>
      </w:r>
      <w:r w:rsidRPr="0071474E">
        <w:rPr>
          <w:lang w:val="en-US"/>
        </w:rPr>
        <w:t>.</w:t>
      </w:r>
      <w:r>
        <w:rPr>
          <w:lang w:val="en-US"/>
        </w:rPr>
        <w:t xml:space="preserve"> Congestion control mechanisms such as </w:t>
      </w:r>
      <w:r w:rsidR="00D01BF3">
        <w:t>a</w:t>
      </w:r>
      <w:r w:rsidR="00D01BF3" w:rsidRPr="00D01BF3">
        <w:t>chieving weighted-fairness</w:t>
      </w:r>
      <w:r w:rsidR="00D01BF3">
        <w:t xml:space="preserve"> </w:t>
      </w:r>
      <w:r w:rsidR="00D01BF3">
        <w:rPr>
          <w:lang w:val="en-US"/>
        </w:rPr>
        <w:fldChar w:fldCharType="begin"/>
      </w:r>
      <w:r w:rsidR="00D01BF3">
        <w:instrText xml:space="preserve"> REF Achieving_Fairnessin \h </w:instrText>
      </w:r>
      <w:r w:rsidR="00D01BF3">
        <w:rPr>
          <w:lang w:val="en-US"/>
        </w:rPr>
      </w:r>
      <w:r w:rsidR="00D01BF3">
        <w:rPr>
          <w:lang w:val="en-US"/>
        </w:rPr>
        <w:fldChar w:fldCharType="separate"/>
      </w:r>
      <w:r w:rsidR="00D01BF3">
        <w:t>[i.33]</w:t>
      </w:r>
      <w:r w:rsidR="00D01BF3">
        <w:rPr>
          <w:lang w:val="en-US"/>
        </w:rPr>
        <w:fldChar w:fldCharType="end"/>
      </w:r>
      <w:r>
        <w:rPr>
          <w:lang w:val="en-US"/>
        </w:rPr>
        <w:t xml:space="preserve"> could be applied to allow that different ITS-S experiencing the same channel load have a different </w:t>
      </w:r>
      <w:r w:rsidR="00D63404">
        <w:rPr>
          <w:lang w:val="en-US"/>
        </w:rPr>
        <w:t>number</w:t>
      </w:r>
      <w:r>
        <w:rPr>
          <w:lang w:val="en-US"/>
        </w:rPr>
        <w:t xml:space="preserve"> of available resources depending on their service needs.</w:t>
      </w:r>
    </w:p>
    <w:p w14:paraId="036C28A3" w14:textId="77777777" w:rsidR="007A6FA6" w:rsidRDefault="007A6FA6" w:rsidP="00467DC7">
      <w:pPr>
        <w:rPr>
          <w:lang w:val="en-US"/>
        </w:rPr>
      </w:pPr>
    </w:p>
    <w:p w14:paraId="7740DA2A" w14:textId="77777777" w:rsidR="00F378DD" w:rsidRPr="00D63404" w:rsidRDefault="00F378DD" w:rsidP="00467DC7">
      <w:pPr>
        <w:rPr>
          <w:lang w:val="en-US"/>
        </w:rPr>
      </w:pPr>
    </w:p>
    <w:p w14:paraId="4EECB70F" w14:textId="2467A1AB" w:rsidR="008951D1" w:rsidRDefault="007566DA" w:rsidP="00D63404">
      <w:pPr>
        <w:keepNext/>
        <w:spacing w:after="0"/>
      </w:pPr>
      <w:r>
        <w:rPr>
          <w:noProof/>
        </w:rPr>
        <w:drawing>
          <wp:inline distT="0" distB="0" distL="0" distR="0" wp14:anchorId="3A18C291" wp14:editId="4B9EFE73">
            <wp:extent cx="6120000" cy="1518629"/>
            <wp:effectExtent l="0" t="0" r="0" b="0"/>
            <wp:docPr id="150220778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000" cy="1518629"/>
                    </a:xfrm>
                    <a:prstGeom prst="rect">
                      <a:avLst/>
                    </a:prstGeom>
                    <a:noFill/>
                  </pic:spPr>
                </pic:pic>
              </a:graphicData>
            </a:graphic>
          </wp:inline>
        </w:drawing>
      </w:r>
    </w:p>
    <w:p w14:paraId="46B8EE44" w14:textId="7C0D6F7E" w:rsidR="008951D1" w:rsidRPr="0027479C" w:rsidRDefault="008951D1" w:rsidP="008951D1">
      <w:pPr>
        <w:pStyle w:val="Caption"/>
        <w:jc w:val="center"/>
      </w:pPr>
      <w:bookmarkStart w:id="264" w:name="_Ref196898590"/>
      <w:r w:rsidRPr="00191F27">
        <w:t xml:space="preserve">Figure </w:t>
      </w:r>
      <w:r>
        <w:fldChar w:fldCharType="begin"/>
      </w:r>
      <w:r>
        <w:instrText xml:space="preserve"> SEQ Figure \* ARABIC </w:instrText>
      </w:r>
      <w:r>
        <w:fldChar w:fldCharType="separate"/>
      </w:r>
      <w:r>
        <w:rPr>
          <w:noProof/>
        </w:rPr>
        <w:t>16</w:t>
      </w:r>
      <w:r>
        <w:rPr>
          <w:noProof/>
        </w:rPr>
        <w:fldChar w:fldCharType="end"/>
      </w:r>
      <w:bookmarkEnd w:id="264"/>
      <w:r w:rsidRPr="00191F27">
        <w:t>:</w:t>
      </w:r>
      <w:r>
        <w:t xml:space="preserve"> </w:t>
      </w:r>
      <w:r w:rsidR="00467DC7">
        <w:t>Interaction between RM and services for</w:t>
      </w:r>
      <w:r>
        <w:t xml:space="preserve"> bandwidth management</w:t>
      </w:r>
    </w:p>
    <w:p w14:paraId="1B6AC344" w14:textId="77777777" w:rsidR="005B21F8" w:rsidRDefault="005B21F8" w:rsidP="005B21F8">
      <w:r>
        <w:t>In addition to these primary functions, the RM process includes a message handling component. In the basic solution, the system does not actively enforce traffic shaping or policing. Instead, it assumes that services will adhere to their resource assignments and that any temporary excesses will not significantly disrupt overall performance. Continuous monitoring of resource consumption—for instance, measuring the number of bits generated by each service in the last second—provides feedback to adjust future resource distributions.</w:t>
      </w:r>
    </w:p>
    <w:p w14:paraId="7FB9E12E" w14:textId="37BEF62A" w:rsidR="00AA4615" w:rsidRPr="00AA4615" w:rsidRDefault="005B21F8" w:rsidP="00D936C5">
      <w:r>
        <w:t>Overall, this basic RM mechanism illustrates a balanced approach where simplicity meets functionality. It relies on policy-based restrictions to manage service admission and uses a fair, priority-driven method to allocate bandwidth, while also keeping the system flexible enough to accommodate service behaviour without overly rigid controls. This foundation can be enhanced with more sophisticated techniques as needed, but it provides an effective baseline for managing resources i</w:t>
      </w:r>
      <w:r w:rsidRPr="00C50CBB">
        <w:t>n a controlled environment. An evaluation showing the feasibility of this basic solution is presented in Annex</w:t>
      </w:r>
      <w:r w:rsidR="009042C0">
        <w:t xml:space="preserve"> E</w:t>
      </w:r>
      <w:r w:rsidRPr="00C50CBB">
        <w:t>.</w:t>
      </w:r>
    </w:p>
    <w:p w14:paraId="2CD52066" w14:textId="129DD063" w:rsidR="001B7A76" w:rsidRDefault="001B7A76" w:rsidP="00A15DE7">
      <w:pPr>
        <w:pStyle w:val="Heading9"/>
      </w:pPr>
      <w:bookmarkStart w:id="265" w:name="_Toc451532678"/>
      <w:bookmarkStart w:id="266" w:name="_Toc487531437"/>
      <w:bookmarkStart w:id="267" w:name="_Toc527986740"/>
      <w:bookmarkStart w:id="268" w:name="_Toc67666495"/>
      <w:bookmarkStart w:id="269" w:name="_Toc67667102"/>
      <w:bookmarkStart w:id="270" w:name="_Toc69827369"/>
      <w:bookmarkStart w:id="271" w:name="_Toc197337061"/>
      <w:r w:rsidRPr="00F54712">
        <w:t xml:space="preserve">Annex </w:t>
      </w:r>
      <w:r w:rsidR="00D83CB3">
        <w:t>A</w:t>
      </w:r>
      <w:r w:rsidRPr="00F54712">
        <w:t>:</w:t>
      </w:r>
      <w:r w:rsidRPr="00F54712">
        <w:br/>
      </w:r>
      <w:bookmarkEnd w:id="265"/>
      <w:bookmarkEnd w:id="266"/>
      <w:bookmarkEnd w:id="267"/>
      <w:bookmarkEnd w:id="268"/>
      <w:bookmarkEnd w:id="269"/>
      <w:bookmarkEnd w:id="270"/>
      <w:r w:rsidR="009F2804">
        <w:t xml:space="preserve">Rationale for the limits imposed by </w:t>
      </w:r>
      <w:r w:rsidR="006E3600">
        <w:t>congestion control</w:t>
      </w:r>
      <w:bookmarkEnd w:id="271"/>
    </w:p>
    <w:p w14:paraId="1A748C9F" w14:textId="3BBEE481" w:rsidR="00DA7D93" w:rsidRDefault="00ED290F" w:rsidP="00DA7D93">
      <w:r>
        <w:t xml:space="preserve">The rationale for </w:t>
      </w:r>
      <w:r w:rsidRPr="00D13FCD">
        <w:t>e</w:t>
      </w:r>
      <w:r w:rsidR="00DA7D93" w:rsidRPr="00D13FCD">
        <w:t>quation</w:t>
      </w:r>
      <w:r w:rsidR="007A2939" w:rsidRPr="00D13FCD">
        <w:t xml:space="preserve"> </w:t>
      </w:r>
      <w:r w:rsidR="00D13FCD" w:rsidRPr="00A138F7">
        <w:fldChar w:fldCharType="begin"/>
      </w:r>
      <w:r w:rsidR="00D13FCD" w:rsidRPr="00A138F7">
        <w:instrText xml:space="preserve"> REF EQ_ToffLimit \h </w:instrText>
      </w:r>
      <w:r w:rsidR="00D13FCD">
        <w:instrText xml:space="preserve"> \* MERGEFORMAT </w:instrText>
      </w:r>
      <w:r w:rsidR="00D13FCD" w:rsidRPr="00A138F7">
        <w:fldChar w:fldCharType="separate"/>
      </w:r>
      <w:r w:rsidR="00D13FCD" w:rsidRPr="00D13FCD">
        <w:rPr>
          <w:noProof/>
        </w:rPr>
        <w:t>2</w:t>
      </w:r>
      <w:r w:rsidR="00D13FCD" w:rsidRPr="00A138F7">
        <w:fldChar w:fldCharType="end"/>
      </w:r>
      <w:r w:rsidR="00DA7D93">
        <w:t xml:space="preserve"> </w:t>
      </w:r>
      <w:r>
        <w:t xml:space="preserve">in </w:t>
      </w:r>
      <w:r w:rsidR="004A3FC7">
        <w:t>clause</w:t>
      </w:r>
      <w:r w:rsidR="00F24883">
        <w:t xml:space="preserve"> </w:t>
      </w:r>
      <w:r w:rsidR="00F24883">
        <w:fldChar w:fldCharType="begin"/>
      </w:r>
      <w:r w:rsidR="00F24883">
        <w:instrText xml:space="preserve"> REF _Ref184309479 \r \h </w:instrText>
      </w:r>
      <w:r w:rsidR="00F24883">
        <w:fldChar w:fldCharType="separate"/>
      </w:r>
      <w:r w:rsidR="00F24883">
        <w:t>5.2.4</w:t>
      </w:r>
      <w:r w:rsidR="00F24883">
        <w:fldChar w:fldCharType="end"/>
      </w:r>
      <w:r w:rsidR="00F24883">
        <w:t>,</w:t>
      </w:r>
      <w:r>
        <w:t xml:space="preserve"> </w:t>
      </w:r>
      <w:r w:rsidR="006E3600">
        <w:t>which is derived from EN 302 571,</w:t>
      </w:r>
      <w:r>
        <w:t xml:space="preserve"> </w:t>
      </w:r>
      <w:r w:rsidR="00DA7D93">
        <w:t>is described in ETSI TS 103 175 and hereafter elaborated.</w:t>
      </w:r>
    </w:p>
    <w:p w14:paraId="101E96CE" w14:textId="75640425" w:rsidR="009F2804" w:rsidRDefault="00ED290F" w:rsidP="00D936C5">
      <w:r>
        <w:t>The starting point is the derivation of</w:t>
      </w:r>
      <w:r w:rsidR="009F2804">
        <w:t xml:space="preserve"> the maximum channel occupation of the generic station</w:t>
      </w:r>
      <w:r w:rsidR="00DA7D93">
        <w:t xml:space="preserve">, hereafter called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A7D93">
        <w:t>,</w:t>
      </w:r>
      <w:r w:rsidR="009F2804">
        <w:t xml:space="preserve"> as a function of the overall channel </w:t>
      </w:r>
      <w:r w:rsidR="00DA7D93">
        <w:t xml:space="preserve">load, which is measured by the </w:t>
      </w:r>
      <m:oMath>
        <m:r>
          <w:rPr>
            <w:rFonts w:ascii="Cambria Math" w:hAnsi="Cambria Math"/>
          </w:rPr>
          <m:t>CBR</m:t>
        </m:r>
      </m:oMath>
      <w:r w:rsidR="009F2804">
        <w:t xml:space="preserve">. </w:t>
      </w:r>
      <w:r w:rsidR="00DA7D93">
        <w:t xml:space="preserve">The maximum channel occupation can also be written as a function of the </w:t>
      </w:r>
      <w:r w:rsidR="00DC697B">
        <w:t>minimum time between two consecutive transmissions where the transceiver is not allowed to generate a signal, de</w:t>
      </w:r>
      <w:r w:rsidR="00207469">
        <w:t>note</w:t>
      </w:r>
      <w:r w:rsidR="00DC697B">
        <w:t xml:space="preserve">d as </w:t>
      </w:r>
      <m:oMath>
        <m:sSub>
          <m:sSubPr>
            <m:ctrlPr>
              <w:rPr>
                <w:rFonts w:ascii="Cambria Math" w:hAnsi="Cambria Math"/>
                <w:i/>
              </w:rPr>
            </m:ctrlPr>
          </m:sSubPr>
          <m:e>
            <m:r>
              <w:rPr>
                <w:rFonts w:ascii="Cambria Math" w:hAnsi="Cambria Math"/>
              </w:rPr>
              <m:t>T</m:t>
            </m:r>
          </m:e>
          <m:sub>
            <m:r>
              <w:rPr>
                <w:rFonts w:ascii="Cambria Math" w:hAnsi="Cambria Math"/>
              </w:rPr>
              <m:t>offLimit</m:t>
            </m:r>
          </m:sub>
        </m:sSub>
      </m:oMath>
      <w:r w:rsidR="00DA7D93">
        <w:t xml:space="preserve"> </w:t>
      </w:r>
      <w:r w:rsidR="00DC697B">
        <w:t xml:space="preserve">and the duration of the last transmission </w:t>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 xml:space="preserve"> </m:t>
        </m:r>
      </m:oMath>
      <w:r w:rsidR="00DC697B">
        <w:t>as</w:t>
      </w:r>
    </w:p>
    <w:p w14:paraId="0F3E7999" w14:textId="7F792EB7" w:rsidR="007A2939" w:rsidRPr="00C6215B" w:rsidRDefault="007A2939" w:rsidP="00A138F7">
      <w:pPr>
        <w:tabs>
          <w:tab w:val="left" w:pos="3969"/>
          <w:tab w:val="left" w:pos="9072"/>
        </w:tabs>
        <w:overflowPunct/>
        <w:spacing w:after="120"/>
        <w:textAlignment w:val="auto"/>
      </w:pPr>
      <w:r>
        <w:tab/>
      </w:r>
      <m:oMath>
        <m:sSub>
          <m:sSubPr>
            <m:ctrlPr>
              <w:rPr>
                <w:rFonts w:ascii="Cambria Math" w:hAnsi="Cambria Math"/>
                <w:i/>
              </w:rPr>
            </m:ctrlPr>
          </m:sSubPr>
          <m:e>
            <m:r>
              <w:rPr>
                <w:rFonts w:ascii="Cambria Math" w:hAnsi="Cambria Math"/>
              </w:rPr>
              <m:t>CR</m:t>
            </m:r>
          </m:e>
          <m:sub>
            <m:r>
              <w:rPr>
                <w:rFonts w:ascii="Cambria Math" w:hAnsi="Cambria Math"/>
              </w:rPr>
              <m:t>Limit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on</m:t>
                </m:r>
              </m:sub>
            </m:sSub>
          </m:num>
          <m:den>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offLimit</m:t>
                </m:r>
              </m:sub>
            </m:sSub>
          </m:den>
        </m:f>
      </m:oMath>
      <w:r>
        <w:t xml:space="preserve"> </w:t>
      </w:r>
      <w:r>
        <w:tab/>
        <w:t>(</w:t>
      </w:r>
      <w:bookmarkStart w:id="272" w:name="EQ_CRlimit"/>
      <w:bookmarkStart w:id="273" w:name="EQ_CRlimit_Toff"/>
      <w:r>
        <w:fldChar w:fldCharType="begin"/>
      </w:r>
      <w:r>
        <w:instrText xml:space="preserve"> </w:instrText>
      </w:r>
      <w:r w:rsidRPr="00C47B74">
        <w:instrText xml:space="preserve">SEQ Eq \* ARABIC </w:instrText>
      </w:r>
      <w:r>
        <w:instrText xml:space="preserve"> </w:instrText>
      </w:r>
      <w:r>
        <w:fldChar w:fldCharType="separate"/>
      </w:r>
      <w:r w:rsidR="00D13FCD">
        <w:rPr>
          <w:noProof/>
        </w:rPr>
        <w:t>3</w:t>
      </w:r>
      <w:r>
        <w:fldChar w:fldCharType="end"/>
      </w:r>
      <w:bookmarkEnd w:id="272"/>
      <w:bookmarkEnd w:id="273"/>
      <w:r>
        <w:t>)</w:t>
      </w:r>
    </w:p>
    <w:p w14:paraId="26D6E61C" w14:textId="2F4736F7" w:rsidR="00DA7D93" w:rsidRDefault="00ED290F" w:rsidP="00D936C5">
      <w:r>
        <w:t xml:space="preserve">Since the maximum channel occupation of the generic station needs to depend to the number of stations, but this information is not explicitly available, an assumption is made on the CBR. In particular, it is </w:t>
      </w:r>
      <w:r w:rsidR="009F2804">
        <w:t>assum</w:t>
      </w:r>
      <w:r>
        <w:t>ed</w:t>
      </w:r>
      <w:r w:rsidR="009F2804">
        <w:t xml:space="preserve"> that the maximum CBR, de</w:t>
      </w:r>
      <w:r w:rsidR="00207469">
        <w:t>note</w:t>
      </w:r>
      <w:r w:rsidR="009F2804">
        <w:t xml:space="preserve">d as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rsidR="009F2804">
        <w:t>, is a function of the number of station</w:t>
      </w:r>
      <w:r w:rsidR="00DA7D93">
        <w:t>s</w:t>
      </w:r>
      <w:r w:rsidR="009F2804">
        <w:t xml:space="preserve"> concurring to access the same channel in the same area</w:t>
      </w:r>
      <w:r w:rsidR="00DA7D93">
        <w:t>, de</w:t>
      </w:r>
      <w:r w:rsidR="00207469">
        <w:t>note</w:t>
      </w:r>
      <w:r w:rsidR="00DA7D93">
        <w:t xml:space="preserve">d as </w:t>
      </w:r>
      <m:oMath>
        <m:sSub>
          <m:sSubPr>
            <m:ctrlPr>
              <w:rPr>
                <w:rFonts w:ascii="Cambria Math" w:hAnsi="Cambria Math"/>
                <w:i/>
              </w:rPr>
            </m:ctrlPr>
          </m:sSubPr>
          <m:e>
            <m:r>
              <w:rPr>
                <w:rFonts w:ascii="Cambria Math" w:hAnsi="Cambria Math"/>
              </w:rPr>
              <m:t>N</m:t>
            </m:r>
          </m:e>
          <m:sub>
            <m:r>
              <w:rPr>
                <w:rFonts w:ascii="Cambria Math" w:hAnsi="Cambria Math"/>
              </w:rPr>
              <m:t>sta</m:t>
            </m:r>
          </m:sub>
        </m:sSub>
      </m:oMath>
      <w:r w:rsidR="009F2804">
        <w:t xml:space="preserve">. This assumption is introduced to allow an implicit derivation of the number of </w:t>
      </w:r>
      <w:r w:rsidR="00DA7D93">
        <w:t xml:space="preserve">station directly from the measured </w:t>
      </w:r>
      <m:oMath>
        <m:r>
          <w:rPr>
            <w:rFonts w:ascii="Cambria Math" w:hAnsi="Cambria Math"/>
          </w:rPr>
          <m:t>CBR</m:t>
        </m:r>
      </m:oMath>
      <w:r w:rsidR="00DA7D93">
        <w:t xml:space="preserve">. This </w:t>
      </w:r>
      <w:r w:rsidR="00DC697B">
        <w:t xml:space="preserve">assumption </w:t>
      </w:r>
      <w:r w:rsidR="00DA7D93">
        <w:t xml:space="preserve">can </w:t>
      </w:r>
      <w:r w:rsidR="00DC697B">
        <w:t xml:space="preserve">also </w:t>
      </w:r>
      <w:r w:rsidR="00DA7D93">
        <w:t xml:space="preserve">be written as </w:t>
      </w:r>
    </w:p>
    <w:p w14:paraId="05D6B259" w14:textId="4B45BB89" w:rsidR="00D13FCD" w:rsidRPr="00C6215B" w:rsidRDefault="00D13FCD" w:rsidP="00D13FCD">
      <w:pPr>
        <w:tabs>
          <w:tab w:val="left" w:pos="3828"/>
          <w:tab w:val="left" w:pos="9072"/>
        </w:tabs>
        <w:overflowPunct/>
        <w:spacing w:after="120"/>
        <w:textAlignment w:val="auto"/>
      </w:pPr>
      <w:r>
        <w:tab/>
      </w:r>
      <m:oMath>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sta</m:t>
            </m:r>
          </m:sub>
        </m:sSub>
        <m:r>
          <w:rPr>
            <w:rFonts w:ascii="Cambria Math" w:hAnsi="Cambria Math"/>
          </w:rPr>
          <m:t>×a+b</m:t>
        </m:r>
      </m:oMath>
      <w:r>
        <w:t xml:space="preserve"> </w:t>
      </w:r>
      <w:r>
        <w:tab/>
        <w:t>(</w:t>
      </w:r>
      <w:r>
        <w:fldChar w:fldCharType="begin"/>
      </w:r>
      <w:r>
        <w:instrText xml:space="preserve"> </w:instrText>
      </w:r>
      <w:r w:rsidRPr="00C47B74">
        <w:instrText xml:space="preserve">SEQ Eq \* ARABIC </w:instrText>
      </w:r>
      <w:r>
        <w:instrText xml:space="preserve"> </w:instrText>
      </w:r>
      <w:r>
        <w:fldChar w:fldCharType="separate"/>
      </w:r>
      <w:r>
        <w:rPr>
          <w:noProof/>
        </w:rPr>
        <w:t>4</w:t>
      </w:r>
      <w:r>
        <w:fldChar w:fldCharType="end"/>
      </w:r>
      <w:r>
        <w:t>)</w:t>
      </w:r>
    </w:p>
    <w:p w14:paraId="54D4C4B2" w14:textId="7D1DF96A" w:rsidR="00DA7D93" w:rsidRDefault="00DA7D93" w:rsidP="003420EA">
      <w:r>
        <w:t xml:space="preserve">where </w:t>
      </w:r>
      <m:oMath>
        <m:r>
          <w:rPr>
            <w:rFonts w:ascii="Cambria Math" w:hAnsi="Cambria Math"/>
          </w:rPr>
          <m:t>a</m:t>
        </m:r>
      </m:oMath>
      <w:r>
        <w:t xml:space="preserve"> and </w:t>
      </w:r>
      <m:oMath>
        <m:r>
          <w:rPr>
            <w:rFonts w:ascii="Cambria Math" w:hAnsi="Cambria Math"/>
          </w:rPr>
          <m:t>b</m:t>
        </m:r>
      </m:oMath>
      <w:r w:rsidR="00ED290F">
        <w:t xml:space="preserve"> </w:t>
      </w:r>
      <w:r w:rsidR="006E3600">
        <w:t xml:space="preserve">are two constants, and thus </w:t>
      </w:r>
    </w:p>
    <w:p w14:paraId="7BDA4A17" w14:textId="5A6B2A9C" w:rsidR="00D13FCD" w:rsidRPr="00C6215B" w:rsidRDefault="00D13FCD" w:rsidP="00D13FCD">
      <w:pPr>
        <w:tabs>
          <w:tab w:val="left" w:pos="4111"/>
          <w:tab w:val="left" w:pos="9072"/>
        </w:tabs>
        <w:overflowPunct/>
        <w:spacing w:after="120"/>
        <w:textAlignment w:val="auto"/>
      </w:pPr>
      <w:r>
        <w:tab/>
      </w:r>
      <m:oMath>
        <m:sSub>
          <m:sSubPr>
            <m:ctrlPr>
              <w:rPr>
                <w:rFonts w:ascii="Cambria Math" w:hAnsi="Cambria Math"/>
                <w:i/>
              </w:rPr>
            </m:ctrlPr>
          </m:sSubPr>
          <m:e>
            <m:r>
              <w:rPr>
                <w:rFonts w:ascii="Cambria Math" w:hAnsi="Cambria Math"/>
              </w:rPr>
              <m:t>N</m:t>
            </m:r>
          </m:e>
          <m:sub>
            <m:r>
              <w:rPr>
                <w:rFonts w:ascii="Cambria Math" w:hAnsi="Cambria Math"/>
              </w:rPr>
              <m:t>sta</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-b</m:t>
            </m:r>
          </m:num>
          <m:den>
            <m:r>
              <w:rPr>
                <w:rFonts w:ascii="Cambria Math" w:hAnsi="Cambria Math"/>
              </w:rPr>
              <m:t>a</m:t>
            </m:r>
          </m:den>
        </m:f>
      </m:oMath>
      <w:r>
        <w:tab/>
        <w:t>(</w:t>
      </w:r>
      <w:r>
        <w:fldChar w:fldCharType="begin"/>
      </w:r>
      <w:r>
        <w:instrText xml:space="preserve"> </w:instrText>
      </w:r>
      <w:r w:rsidRPr="00C47B74">
        <w:instrText xml:space="preserve">SEQ Eq \* ARABIC </w:instrText>
      </w:r>
      <w:r>
        <w:instrText xml:space="preserve"> </w:instrText>
      </w:r>
      <w:r>
        <w:fldChar w:fldCharType="separate"/>
      </w:r>
      <w:r>
        <w:rPr>
          <w:noProof/>
        </w:rPr>
        <w:t>5</w:t>
      </w:r>
      <w:r>
        <w:fldChar w:fldCharType="end"/>
      </w:r>
      <w:r>
        <w:t>)</w:t>
      </w:r>
    </w:p>
    <w:p w14:paraId="57A34034" w14:textId="3AA31C7F" w:rsidR="00DC697B" w:rsidRDefault="00DA7D93" w:rsidP="003420EA">
      <w:r>
        <w:t>Given the maximum CBR and the number of stations</w:t>
      </w:r>
      <w:r w:rsidR="006E3600">
        <w:t>,</w:t>
      </w:r>
      <w:r>
        <w:t xml:space="preserve"> the maximum channel occupation of the generic station</w:t>
      </w:r>
      <w:r w:rsidR="00DC697B">
        <w:t xml:space="preserve"> </w:t>
      </w:r>
      <w:r>
        <w:t>can be calculated</w:t>
      </w:r>
      <w:r w:rsidR="00DC697B">
        <w:t xml:space="preserve"> as </w:t>
      </w:r>
    </w:p>
    <w:p w14:paraId="6258BFA1" w14:textId="1A56752D" w:rsidR="00D13FCD" w:rsidRPr="00C6215B" w:rsidRDefault="00D13FCD" w:rsidP="00D13FCD">
      <w:pPr>
        <w:tabs>
          <w:tab w:val="left" w:pos="2835"/>
          <w:tab w:val="left" w:pos="9072"/>
        </w:tabs>
        <w:overflowPunct/>
        <w:spacing w:after="120"/>
        <w:textAlignment w:val="auto"/>
      </w:pPr>
      <w:r>
        <w:tab/>
      </w:r>
      <m:oMath>
        <m:sSub>
          <m:sSubPr>
            <m:ctrlPr>
              <w:rPr>
                <w:rFonts w:ascii="Cambria Math" w:hAnsi="Cambria Math"/>
                <w:i/>
              </w:rPr>
            </m:ctrlPr>
          </m:sSubPr>
          <m:e>
            <m:r>
              <w:rPr>
                <w:rFonts w:ascii="Cambria Math" w:hAnsi="Cambria Math"/>
              </w:rPr>
              <m:t>CR</m:t>
            </m:r>
          </m:e>
          <m:sub>
            <m:r>
              <w:rPr>
                <w:rFonts w:ascii="Cambria Math" w:hAnsi="Cambria Math"/>
              </w:rPr>
              <m:t>Limit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CBR</m:t>
                </m:r>
              </m:e>
              <m:sub>
                <m:r>
                  <w:rPr>
                    <w:rFonts w:ascii="Cambria Math" w:hAnsi="Cambria Math"/>
                  </w:rPr>
                  <m:t>Limit</m:t>
                </m:r>
              </m:sub>
            </m:sSub>
          </m:num>
          <m:den>
            <m:sSub>
              <m:sSubPr>
                <m:ctrlPr>
                  <w:rPr>
                    <w:rFonts w:ascii="Cambria Math" w:hAnsi="Cambria Math"/>
                    <w:i/>
                  </w:rPr>
                </m:ctrlPr>
              </m:sSubPr>
              <m:e>
                <m:r>
                  <w:rPr>
                    <w:rFonts w:ascii="Cambria Math" w:hAnsi="Cambria Math"/>
                  </w:rPr>
                  <m:t>N</m:t>
                </m:r>
              </m:e>
              <m:sub>
                <m:r>
                  <w:rPr>
                    <w:rFonts w:ascii="Cambria Math" w:hAnsi="Cambria Math"/>
                  </w:rPr>
                  <m:t>sta</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CBR</m:t>
                </m:r>
              </m:e>
              <m:sub>
                <m:r>
                  <w:rPr>
                    <w:rFonts w:ascii="Cambria Math" w:hAnsi="Cambria Math"/>
                  </w:rPr>
                  <m:t>Limit</m:t>
                </m:r>
              </m:sub>
            </m:sSub>
          </m:num>
          <m:den>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-b</m:t>
                    </m:r>
                  </m:num>
                  <m:den>
                    <m:r>
                      <w:rPr>
                        <w:rFonts w:ascii="Cambria Math" w:hAnsi="Cambria Math"/>
                      </w:rPr>
                      <m:t>a</m:t>
                    </m:r>
                  </m:den>
                </m:f>
              </m:e>
            </m:d>
          </m:den>
        </m:f>
        <m:r>
          <w:rPr>
            <w:rFonts w:ascii="Cambria Math" w:hAnsi="Cambria Math"/>
          </w:rPr>
          <m:t>=</m:t>
        </m:r>
        <m:f>
          <m:fPr>
            <m:ctrlPr>
              <w:rPr>
                <w:rFonts w:ascii="Cambria Math" w:hAnsi="Cambria Math"/>
                <w:i/>
              </w:rPr>
            </m:ctrlPr>
          </m:fPr>
          <m:num>
            <m:r>
              <w:rPr>
                <w:rFonts w:ascii="Cambria Math" w:hAnsi="Cambria Math"/>
              </w:rPr>
              <m:t>a×</m:t>
            </m:r>
            <m:sSub>
              <m:sSubPr>
                <m:ctrlPr>
                  <w:rPr>
                    <w:rFonts w:ascii="Cambria Math" w:hAnsi="Cambria Math"/>
                    <w:i/>
                  </w:rPr>
                </m:ctrlPr>
              </m:sSubPr>
              <m:e>
                <m:r>
                  <w:rPr>
                    <w:rFonts w:ascii="Cambria Math" w:hAnsi="Cambria Math"/>
                  </w:rPr>
                  <m:t>CBR</m:t>
                </m:r>
              </m:e>
              <m:sub>
                <m:r>
                  <w:rPr>
                    <w:rFonts w:ascii="Cambria Math" w:hAnsi="Cambria Math"/>
                  </w:rPr>
                  <m:t>Limit</m:t>
                </m:r>
              </m:sub>
            </m:sSub>
          </m:num>
          <m:den>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-b</m:t>
            </m:r>
          </m:den>
        </m:f>
      </m:oMath>
      <w:r>
        <w:tab/>
        <w:t>(</w:t>
      </w:r>
      <w:bookmarkStart w:id="274" w:name="EQ_CRlimit_Nsta"/>
      <w:r>
        <w:fldChar w:fldCharType="begin"/>
      </w:r>
      <w:r>
        <w:instrText xml:space="preserve"> </w:instrText>
      </w:r>
      <w:r w:rsidRPr="00C47B74">
        <w:instrText xml:space="preserve">SEQ Eq \* ARABIC </w:instrText>
      </w:r>
      <w:r>
        <w:instrText xml:space="preserve"> </w:instrText>
      </w:r>
      <w:r>
        <w:fldChar w:fldCharType="separate"/>
      </w:r>
      <w:r>
        <w:rPr>
          <w:noProof/>
        </w:rPr>
        <w:t>6</w:t>
      </w:r>
      <w:r>
        <w:fldChar w:fldCharType="end"/>
      </w:r>
      <w:bookmarkEnd w:id="274"/>
      <w:r>
        <w:t>)</w:t>
      </w:r>
    </w:p>
    <w:p w14:paraId="51E9BA65" w14:textId="69E015EB" w:rsidR="00DC697B" w:rsidRDefault="006E3600" w:rsidP="00D936C5">
      <w:r>
        <w:t>Using equations</w:t>
      </w:r>
      <w:r w:rsidR="00F24883">
        <w:t xml:space="preserve"> </w:t>
      </w:r>
      <w:r w:rsidR="00F24883">
        <w:fldChar w:fldCharType="begin"/>
      </w:r>
      <w:r w:rsidR="00F24883">
        <w:instrText xml:space="preserve"> REF EQ_CRlimit_Toff \h </w:instrText>
      </w:r>
      <w:r w:rsidR="00F24883">
        <w:fldChar w:fldCharType="separate"/>
      </w:r>
      <w:r w:rsidR="00F24883">
        <w:rPr>
          <w:noProof/>
        </w:rPr>
        <w:t>3</w:t>
      </w:r>
      <w:r w:rsidR="00F24883">
        <w:fldChar w:fldCharType="end"/>
      </w:r>
      <w:r w:rsidR="00F24883">
        <w:t xml:space="preserve"> and </w:t>
      </w:r>
      <w:r w:rsidR="00F24883">
        <w:fldChar w:fldCharType="begin"/>
      </w:r>
      <w:r w:rsidR="00F24883">
        <w:instrText xml:space="preserve"> REF EQ_CRlimit_Nsta \h </w:instrText>
      </w:r>
      <w:r w:rsidR="00F24883">
        <w:fldChar w:fldCharType="separate"/>
      </w:r>
      <w:r w:rsidR="00F24883">
        <w:rPr>
          <w:noProof/>
        </w:rPr>
        <w:t>6</w:t>
      </w:r>
      <w:r w:rsidR="00F24883">
        <w:fldChar w:fldCharType="end"/>
      </w:r>
      <w:r>
        <w:t>, b</w:t>
      </w:r>
      <w:r w:rsidR="00DC697B">
        <w:t xml:space="preserve">y </w:t>
      </w:r>
      <w:r>
        <w:t xml:space="preserve">first </w:t>
      </w:r>
      <w:r w:rsidR="00D13FCD">
        <w:t xml:space="preserve">writing </w:t>
      </w:r>
      <m:oMath>
        <m:sSub>
          <m:sSubPr>
            <m:ctrlPr>
              <w:rPr>
                <w:rFonts w:ascii="Cambria Math" w:hAnsi="Cambria Math"/>
                <w:i/>
              </w:rPr>
            </m:ctrlPr>
          </m:sSubPr>
          <m:e>
            <m:r>
              <w:rPr>
                <w:rFonts w:ascii="Cambria Math" w:hAnsi="Cambria Math"/>
              </w:rPr>
              <m:t>T</m:t>
            </m:r>
          </m:e>
          <m:sub>
            <m:r>
              <w:rPr>
                <w:rFonts w:ascii="Cambria Math" w:hAnsi="Cambria Math"/>
              </w:rPr>
              <m:t>offLimit</m:t>
            </m:r>
          </m:sub>
        </m:sSub>
      </m:oMath>
      <w:r w:rsidR="00DC697B">
        <w:t xml:space="preserve"> as a function of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C697B">
        <w:t xml:space="preserve"> and then substituting </w:t>
      </w:r>
      <m:oMath>
        <m:sSub>
          <m:sSubPr>
            <m:ctrlPr>
              <w:rPr>
                <w:rFonts w:ascii="Cambria Math" w:hAnsi="Cambria Math"/>
                <w:i/>
              </w:rPr>
            </m:ctrlPr>
          </m:sSubPr>
          <m:e>
            <m:r>
              <w:rPr>
                <w:rFonts w:ascii="Cambria Math" w:hAnsi="Cambria Math"/>
              </w:rPr>
              <m:t>CR</m:t>
            </m:r>
          </m:e>
          <m:sub>
            <m:r>
              <w:rPr>
                <w:rFonts w:ascii="Cambria Math" w:hAnsi="Cambria Math"/>
              </w:rPr>
              <m:t>Limit</m:t>
            </m:r>
          </m:sub>
        </m:sSub>
      </m:oMath>
      <w:r w:rsidR="00DC697B">
        <w:t xml:space="preserve"> with its expression as a function of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rsidR="00DC697B">
        <w:t>, we finally obtain</w:t>
      </w:r>
    </w:p>
    <w:p w14:paraId="4378E928" w14:textId="13BF9E42" w:rsidR="00D13FCD" w:rsidRPr="00C6215B" w:rsidRDefault="00D13FCD" w:rsidP="00D13FCD">
      <w:pPr>
        <w:tabs>
          <w:tab w:val="left" w:pos="1560"/>
          <w:tab w:val="left" w:pos="9072"/>
        </w:tabs>
        <w:overflowPunct/>
        <w:spacing w:after="120"/>
        <w:textAlignment w:val="auto"/>
      </w:pPr>
      <w:r>
        <w:tab/>
      </w:r>
      <m:oMath>
        <m:sSub>
          <m:sSubPr>
            <m:ctrlPr>
              <w:rPr>
                <w:rFonts w:ascii="Cambria Math" w:hAnsi="Cambria Math"/>
                <w:i/>
              </w:rPr>
            </m:ctrlPr>
          </m:sSubPr>
          <m:e>
            <m:r>
              <w:rPr>
                <w:rFonts w:ascii="Cambria Math" w:hAnsi="Cambria Math"/>
              </w:rPr>
              <m:t>T</m:t>
            </m:r>
          </m:e>
          <m:sub>
            <m:r>
              <w:rPr>
                <w:rFonts w:ascii="Cambria Math" w:hAnsi="Cambria Math"/>
              </w:rPr>
              <m:t>offLimit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sSub>
                  <m:sSubPr>
                    <m:ctrlPr>
                      <w:rPr>
                        <w:rFonts w:ascii="Cambria Math" w:hAnsi="Cambria Math"/>
                        <w:i/>
                      </w:rPr>
                    </m:ctrlPr>
                  </m:sSubPr>
                  <m:e>
                    <m:r>
                      <w:rPr>
                        <w:rFonts w:ascii="Cambria Math" w:hAnsi="Cambria Math"/>
                      </w:rPr>
                      <m:t>CR</m:t>
                    </m:r>
                  </m:e>
                  <m:sub>
                    <m:r>
                      <w:rPr>
                        <w:rFonts w:ascii="Cambria Math" w:hAnsi="Cambria Math"/>
                      </w:rPr>
                      <m:t>Limit</m:t>
                    </m:r>
                  </m:sub>
                </m:sSub>
              </m:num>
              <m:den>
                <m:sSub>
                  <m:sSubPr>
                    <m:ctrlPr>
                      <w:rPr>
                        <w:rFonts w:ascii="Cambria Math" w:hAnsi="Cambria Math"/>
                        <w:i/>
                      </w:rPr>
                    </m:ctrlPr>
                  </m:sSubPr>
                  <m:e>
                    <m:r>
                      <w:rPr>
                        <w:rFonts w:ascii="Cambria Math" w:hAnsi="Cambria Math"/>
                      </w:rPr>
                      <m:t>CR</m:t>
                    </m:r>
                  </m:e>
                  <m:sub>
                    <m:r>
                      <w:rPr>
                        <w:rFonts w:ascii="Cambria Math" w:hAnsi="Cambria Math"/>
                      </w:rPr>
                      <m:t>Limit</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CR</m:t>
                    </m:r>
                  </m:e>
                  <m:sub>
                    <m:r>
                      <w:rPr>
                        <w:rFonts w:ascii="Cambria Math" w:hAnsi="Cambria Math"/>
                      </w:rPr>
                      <m:t>Limit</m:t>
                    </m:r>
                  </m:sub>
                </m:sSub>
              </m:den>
            </m:f>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a</m:t>
                </m:r>
              </m:den>
            </m:f>
            <m:f>
              <m:fPr>
                <m:ctrlPr>
                  <w:rPr>
                    <w:rFonts w:ascii="Cambria Math" w:hAnsi="Cambria Math"/>
                    <w:i/>
                  </w:rPr>
                </m:ctrlPr>
              </m:fPr>
              <m:num>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-b</m:t>
                </m:r>
              </m:num>
              <m:den>
                <m:sSub>
                  <m:sSubPr>
                    <m:ctrlPr>
                      <w:rPr>
                        <w:rFonts w:ascii="Cambria Math" w:hAnsi="Cambria Math"/>
                        <w:i/>
                      </w:rPr>
                    </m:ctrlPr>
                  </m:sSubPr>
                  <m:e>
                    <m:r>
                      <w:rPr>
                        <w:rFonts w:ascii="Cambria Math" w:hAnsi="Cambria Math"/>
                      </w:rPr>
                      <m:t>CBR</m:t>
                    </m:r>
                  </m:e>
                  <m:sub>
                    <m:r>
                      <w:rPr>
                        <w:rFonts w:ascii="Cambria Math" w:hAnsi="Cambria Math"/>
                      </w:rPr>
                      <m:t>Limit</m:t>
                    </m:r>
                  </m:sub>
                </m:sSub>
              </m:den>
            </m:f>
            <m:r>
              <w:rPr>
                <w:rFonts w:ascii="Cambria Math" w:hAnsi="Cambria Math"/>
              </w:rPr>
              <m:t>-1</m:t>
            </m:r>
          </m:e>
        </m:d>
      </m:oMath>
      <w:r>
        <w:tab/>
        <w:t>(</w:t>
      </w:r>
      <w:r>
        <w:fldChar w:fldCharType="begin"/>
      </w:r>
      <w:r>
        <w:instrText xml:space="preserve"> </w:instrText>
      </w:r>
      <w:r w:rsidRPr="00C47B74">
        <w:instrText xml:space="preserve">SEQ Eq \* ARABIC </w:instrText>
      </w:r>
      <w:r>
        <w:instrText xml:space="preserve"> </w:instrText>
      </w:r>
      <w:r>
        <w:fldChar w:fldCharType="separate"/>
      </w:r>
      <w:r>
        <w:rPr>
          <w:noProof/>
        </w:rPr>
        <w:t>7</w:t>
      </w:r>
      <w:r>
        <w:fldChar w:fldCharType="end"/>
      </w:r>
      <w:r>
        <w:t>)</w:t>
      </w:r>
    </w:p>
    <w:p w14:paraId="689C809B" w14:textId="4787C909" w:rsidR="00ED290F" w:rsidRDefault="006E3600" w:rsidP="00D936C5">
      <w:r>
        <w:t xml:space="preserve">The final step is that the measured CBR, indicated as </w:t>
      </w:r>
      <m:oMath>
        <m:r>
          <w:rPr>
            <w:rFonts w:ascii="Cambria Math" w:hAnsi="Cambria Math"/>
          </w:rPr>
          <m:t>CBR</m:t>
        </m:r>
      </m:oMath>
      <w:r>
        <w:t xml:space="preserve">, is assumed equal to </w:t>
      </w:r>
      <m:oMath>
        <m:sSub>
          <m:sSubPr>
            <m:ctrlPr>
              <w:rPr>
                <w:rFonts w:ascii="Cambria Math" w:hAnsi="Cambria Math"/>
                <w:i/>
              </w:rPr>
            </m:ctrlPr>
          </m:sSubPr>
          <m:e>
            <m:r>
              <w:rPr>
                <w:rFonts w:ascii="Cambria Math" w:hAnsi="Cambria Math"/>
              </w:rPr>
              <m:t>CBR</m:t>
            </m:r>
          </m:e>
          <m:sub>
            <m:r>
              <w:rPr>
                <w:rFonts w:ascii="Cambria Math" w:hAnsi="Cambria Math"/>
              </w:rPr>
              <m:t>Limit</m:t>
            </m:r>
          </m:sub>
        </m:sSub>
      </m:oMath>
      <w:r>
        <w:t xml:space="preserve">, which brings to </w:t>
      </w:r>
    </w:p>
    <w:p w14:paraId="720150FC" w14:textId="524CCFB2" w:rsidR="00D13FCD" w:rsidRPr="00C6215B" w:rsidRDefault="00D13FCD" w:rsidP="00D13FCD">
      <w:pPr>
        <w:tabs>
          <w:tab w:val="left" w:pos="3402"/>
          <w:tab w:val="left" w:pos="9072"/>
        </w:tabs>
        <w:overflowPunct/>
        <w:spacing w:after="120"/>
        <w:textAlignment w:val="auto"/>
      </w:pPr>
      <w:r>
        <w:tab/>
      </w:r>
      <m:oMath>
        <m:sSub>
          <m:sSubPr>
            <m:ctrlPr>
              <w:rPr>
                <w:rFonts w:ascii="Cambria Math" w:hAnsi="Cambria Math"/>
                <w:i/>
              </w:rPr>
            </m:ctrlPr>
          </m:sSubPr>
          <m:e>
            <m:r>
              <w:rPr>
                <w:rFonts w:ascii="Cambria Math" w:hAnsi="Cambria Math"/>
              </w:rPr>
              <m:t>T</m:t>
            </m:r>
          </m:e>
          <m:sub>
            <m:r>
              <w:rPr>
                <w:rFonts w:ascii="Cambria Math" w:hAnsi="Cambria Math"/>
              </w:rPr>
              <m:t>offLimit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a</m:t>
                </m:r>
              </m:den>
            </m:f>
            <m:f>
              <m:fPr>
                <m:ctrlPr>
                  <w:rPr>
                    <w:rFonts w:ascii="Cambria Math" w:hAnsi="Cambria Math"/>
                    <w:i/>
                  </w:rPr>
                </m:ctrlPr>
              </m:fPr>
              <m:num>
                <m:r>
                  <w:rPr>
                    <w:rFonts w:ascii="Cambria Math" w:hAnsi="Cambria Math"/>
                  </w:rPr>
                  <m:t>CBR-b</m:t>
                </m:r>
              </m:num>
              <m:den>
                <m:r>
                  <w:rPr>
                    <w:rFonts w:ascii="Cambria Math" w:hAnsi="Cambria Math"/>
                  </w:rPr>
                  <m:t>CBR</m:t>
                </m:r>
              </m:den>
            </m:f>
            <m:r>
              <w:rPr>
                <w:rFonts w:ascii="Cambria Math" w:hAnsi="Cambria Math"/>
              </w:rPr>
              <m:t>-1</m:t>
            </m:r>
          </m:e>
        </m:d>
      </m:oMath>
      <w:r>
        <w:t xml:space="preserve"> </w:t>
      </w:r>
      <w:r>
        <w:tab/>
        <w:t>(</w:t>
      </w:r>
      <w:r>
        <w:fldChar w:fldCharType="begin"/>
      </w:r>
      <w:r>
        <w:instrText xml:space="preserve"> </w:instrText>
      </w:r>
      <w:r w:rsidRPr="00C47B74">
        <w:instrText xml:space="preserve">SEQ Eq \* ARABIC </w:instrText>
      </w:r>
      <w:r>
        <w:instrText xml:space="preserve"> </w:instrText>
      </w:r>
      <w:r>
        <w:fldChar w:fldCharType="separate"/>
      </w:r>
      <w:r>
        <w:rPr>
          <w:noProof/>
        </w:rPr>
        <w:t>8</w:t>
      </w:r>
      <w:r>
        <w:fldChar w:fldCharType="end"/>
      </w:r>
      <w:r>
        <w:t>)</w:t>
      </w:r>
    </w:p>
    <w:p w14:paraId="1146E71F" w14:textId="2550F3A5" w:rsidR="006E3600" w:rsidRDefault="006E3600" w:rsidP="00D936C5">
      <w:r>
        <w:t>Which corresponds to</w:t>
      </w:r>
      <w:r w:rsidR="00F24883">
        <w:t xml:space="preserve"> </w:t>
      </w:r>
      <w:r w:rsidR="00F24883" w:rsidRPr="005662FF">
        <w:t xml:space="preserve">equation </w:t>
      </w:r>
      <w:r w:rsidR="00F24883" w:rsidRPr="005662FF">
        <w:fldChar w:fldCharType="begin"/>
      </w:r>
      <w:r w:rsidR="00F24883" w:rsidRPr="005662FF">
        <w:instrText xml:space="preserve"> REF EQ_ToffLimit \h </w:instrText>
      </w:r>
      <w:r w:rsidR="00F24883">
        <w:instrText xml:space="preserve"> \* MERGEFORMAT </w:instrText>
      </w:r>
      <w:r w:rsidR="00F24883" w:rsidRPr="005662FF">
        <w:fldChar w:fldCharType="separate"/>
      </w:r>
      <w:r w:rsidR="00F24883" w:rsidRPr="005662FF">
        <w:rPr>
          <w:noProof/>
        </w:rPr>
        <w:t>2</w:t>
      </w:r>
      <w:r w:rsidR="00F24883" w:rsidRPr="005662FF">
        <w:fldChar w:fldCharType="end"/>
      </w:r>
      <w:r w:rsidR="00F24883">
        <w:t xml:space="preserve"> </w:t>
      </w:r>
      <w:r>
        <w:t xml:space="preserve">in </w:t>
      </w:r>
      <w:r w:rsidR="004A3FC7">
        <w:t>clause</w:t>
      </w:r>
      <w:r w:rsidR="00F24883">
        <w:t xml:space="preserve"> </w:t>
      </w:r>
      <w:r w:rsidR="00F24883">
        <w:fldChar w:fldCharType="begin"/>
      </w:r>
      <w:r w:rsidR="00F24883">
        <w:instrText xml:space="preserve"> REF _Ref184309479 \r \h </w:instrText>
      </w:r>
      <w:r w:rsidR="00F24883">
        <w:fldChar w:fldCharType="separate"/>
      </w:r>
      <w:r w:rsidR="00F24883">
        <w:t>5.2.4</w:t>
      </w:r>
      <w:r w:rsidR="00F24883">
        <w:fldChar w:fldCharType="end"/>
      </w:r>
      <w:r w:rsidR="00F24883">
        <w:t xml:space="preserve"> </w:t>
      </w:r>
      <w:r>
        <w:t xml:space="preserve">(and thus </w:t>
      </w:r>
      <w:r w:rsidR="00845DEF">
        <w:t>the limit indicated by EN 302</w:t>
      </w:r>
      <w:r>
        <w:t> </w:t>
      </w:r>
      <w:r w:rsidR="00845DEF">
        <w:t>571</w:t>
      </w:r>
      <w:r>
        <w:t>)</w:t>
      </w:r>
      <w:r w:rsidR="00845DEF">
        <w:t xml:space="preserve"> when </w:t>
      </w:r>
      <m:oMath>
        <m:r>
          <w:rPr>
            <w:rFonts w:ascii="Cambria Math" w:hAnsi="Cambria Math"/>
          </w:rPr>
          <m:t>a=1/4000</m:t>
        </m:r>
      </m:oMath>
      <w:r w:rsidR="00845DEF">
        <w:t xml:space="preserve"> and </w:t>
      </w:r>
      <m:oMath>
        <m:r>
          <w:rPr>
            <w:rFonts w:ascii="Cambria Math" w:hAnsi="Cambria Math"/>
          </w:rPr>
          <m:t>b=0.62</m:t>
        </m:r>
      </m:oMath>
      <w:r w:rsidR="00845DEF">
        <w:t xml:space="preserve"> are </w:t>
      </w:r>
      <w:r>
        <w:t>used</w:t>
      </w:r>
      <w:r w:rsidR="00845DEF">
        <w:t>.</w:t>
      </w:r>
      <w:r w:rsidR="00FF2E23">
        <w:t xml:space="preserve"> These two parameters were empirically determined as a good trade-off between convergence speed and stability.</w:t>
      </w:r>
    </w:p>
    <w:p w14:paraId="3071CD4E" w14:textId="238E4A63" w:rsidR="00DC697B" w:rsidRDefault="006E3600" w:rsidP="006E2E62">
      <w:r>
        <w:t>It can be observed that the assumption that the measured CBR is equal to the limit implies that each station tends to consider the channel always congested, which may not be true. However, if the channel is not congested the effect is that the station under observation underestimates the number of contending stations and overestimates the portion of resources it can use. Given that the channel is not really congested, this may only cause an increase of the CBR until it actually reaches the level of congestion.</w:t>
      </w:r>
    </w:p>
    <w:p w14:paraId="08874C20" w14:textId="4C57995C" w:rsidR="009A00D6" w:rsidRDefault="009A00D6" w:rsidP="003420EA">
      <w:r>
        <w:br w:type="page"/>
      </w:r>
    </w:p>
    <w:p w14:paraId="45664BF3" w14:textId="77777777" w:rsidR="009042C0" w:rsidRDefault="009042C0" w:rsidP="009042C0">
      <w:pPr>
        <w:pStyle w:val="Heading9"/>
      </w:pPr>
      <w:bookmarkStart w:id="275" w:name="_Toc197337062"/>
      <w:bookmarkStart w:id="276" w:name="_Toc451532679"/>
      <w:bookmarkStart w:id="277" w:name="_Toc487531438"/>
      <w:bookmarkStart w:id="278" w:name="_Toc527986741"/>
      <w:bookmarkStart w:id="279" w:name="_Toc67666496"/>
      <w:bookmarkStart w:id="280" w:name="_Toc67667103"/>
      <w:bookmarkStart w:id="281" w:name="_Toc69827370"/>
      <w:r w:rsidRPr="00F54712">
        <w:t xml:space="preserve">Annex </w:t>
      </w:r>
      <w:r>
        <w:t>B</w:t>
      </w:r>
      <w:r w:rsidRPr="00F54712">
        <w:t>:</w:t>
      </w:r>
      <w:r w:rsidRPr="00F54712">
        <w:br/>
      </w:r>
      <w:r>
        <w:t>Methods to characterise congestion control algorithms</w:t>
      </w:r>
      <w:bookmarkEnd w:id="275"/>
    </w:p>
    <w:p w14:paraId="007C7795" w14:textId="77777777" w:rsidR="009042C0" w:rsidRDefault="009042C0" w:rsidP="009042C0">
      <w:pPr>
        <w:pStyle w:val="Heading2"/>
      </w:pPr>
      <w:bookmarkStart w:id="282" w:name="_Toc197337063"/>
      <w:r>
        <w:t>B.1</w:t>
      </w:r>
      <w:r>
        <w:tab/>
        <w:t>Modelling of a rate control loop</w:t>
      </w:r>
      <w:bookmarkEnd w:id="282"/>
    </w:p>
    <w:p w14:paraId="42043B7D" w14:textId="77777777" w:rsidR="009042C0" w:rsidRPr="007E37A7" w:rsidRDefault="009042C0" w:rsidP="009042C0">
      <w:pPr>
        <w:pStyle w:val="Heading3"/>
      </w:pPr>
      <w:bookmarkStart w:id="283" w:name="_Toc197337064"/>
      <w:r>
        <w:t>B.1.1</w:t>
      </w:r>
      <w:r>
        <w:tab/>
        <w:t xml:space="preserve">Definition of the </w:t>
      </w:r>
      <w:r w:rsidRPr="00C53B80">
        <w:t>channel busy ratio limit</w:t>
      </w:r>
      <w:bookmarkEnd w:id="283"/>
    </w:p>
    <w:p w14:paraId="376AF245" w14:textId="77777777" w:rsidR="009042C0" w:rsidRPr="00C53B80" w:rsidRDefault="009042C0" w:rsidP="009042C0">
      <w:pPr>
        <w:pStyle w:val="BodyText"/>
      </w:pPr>
      <w:r w:rsidRPr="00C53B80">
        <w:t xml:space="preserve">Several independent transmitters that want to share a radio channel without coordination by a central station </w:t>
      </w:r>
      <w:r>
        <w:t>need a mechanism that avoids</w:t>
      </w:r>
      <w:r w:rsidRPr="00C53B80">
        <w:t xml:space="preserve"> data packet collisions and </w:t>
      </w:r>
      <w:r>
        <w:t>that takes care of the</w:t>
      </w:r>
      <w:r w:rsidRPr="00C53B80">
        <w:t xml:space="preserve"> available channel resources. </w:t>
      </w:r>
      <w:r>
        <w:t xml:space="preserve">For simplification of the derived model of the congestion control it is </w:t>
      </w:r>
      <w:r w:rsidRPr="00C53B80">
        <w:t>assumed that data packet collisions are effectively avoided by the CSMA/CA algorithm</w:t>
      </w:r>
      <w:r>
        <w:t xml:space="preserve"> when the radio channel is not overloaded</w:t>
      </w:r>
      <w:r w:rsidRPr="00C53B80">
        <w:t xml:space="preserve"> and that the load is only controlled by the rate and duration of the data packets. This simplifies the description and makes an analytic evaluation possible. Anyhow, </w:t>
      </w:r>
      <w:r>
        <w:t>the congestion control</w:t>
      </w:r>
      <w:r w:rsidRPr="00C53B80">
        <w:t xml:space="preserve"> is designed to avoid packet collisions by keeping the channel load reasonably low.</w:t>
      </w:r>
    </w:p>
    <w:p w14:paraId="1CDD076D" w14:textId="77777777" w:rsidR="009042C0" w:rsidRPr="00C53B80" w:rsidRDefault="009042C0" w:rsidP="009042C0">
      <w:pPr>
        <w:pStyle w:val="BodyText"/>
      </w:pPr>
      <w:r w:rsidRPr="00C53B80">
        <w:t>Obviously, all transmitters should not try to put more packets on the channel th</w:t>
      </w:r>
      <w:r>
        <w:t>a</w:t>
      </w:r>
      <w:r w:rsidRPr="00C53B80">
        <w:t xml:space="preserve">n the channel capacity allows. It is even so that the full channel capacity can only be reached at the cost of massive packet collisions (packets of different transmitters overlap in time). Most of these overlapping packets cannot be decoded in the receivers and are therefore waste of channel resources. Hence, the optimum channel load is well below the channel capacity. </w:t>
      </w:r>
      <w:r>
        <w:t>A congestion control</w:t>
      </w:r>
      <w:r w:rsidRPr="00C53B80">
        <w:t xml:space="preserve"> should allow a system of multiple transmitters to use the channel resources up to, or close to, the optimum channel load, and avoid </w:t>
      </w:r>
      <w:r>
        <w:t xml:space="preserve">an </w:t>
      </w:r>
      <w:r w:rsidRPr="00C53B80">
        <w:t>operation above this load limit.</w:t>
      </w:r>
    </w:p>
    <w:p w14:paraId="6672A993" w14:textId="77777777" w:rsidR="009042C0" w:rsidRPr="00C53B80" w:rsidRDefault="009042C0" w:rsidP="009042C0">
      <w:pPr>
        <w:pStyle w:val="BodyText"/>
      </w:pPr>
      <w:r w:rsidRPr="00C53B80">
        <w:t xml:space="preserve">The channel resources </w:t>
      </w:r>
      <w:r w:rsidRPr="00C53B80">
        <w:rPr>
          <w:i/>
        </w:rPr>
        <w:t>R</w:t>
      </w:r>
      <w:r w:rsidRPr="00C53B80">
        <w:t xml:space="preserve"> can be seen as percentage of the total available transmit time for all transmitting nodes (0 &lt; </w:t>
      </w:r>
      <w:r w:rsidRPr="00C53B80">
        <w:rPr>
          <w:i/>
        </w:rPr>
        <w:t>R </w:t>
      </w:r>
      <w:r w:rsidRPr="00C53B80">
        <w:t xml:space="preserve">&lt; 1). Whereas the channel utilization </w:t>
      </w:r>
      <w:r w:rsidRPr="00C53B80">
        <w:rPr>
          <w:i/>
        </w:rPr>
        <w:t>u</w:t>
      </w:r>
      <w:r w:rsidRPr="00C53B80">
        <w:t xml:space="preserve"> is the percentage of the total available time each node can transmit. Assuming that all nodes </w:t>
      </w:r>
      <w:r w:rsidRPr="00C53B80">
        <w:rPr>
          <w:i/>
        </w:rPr>
        <w:t>N</w:t>
      </w:r>
      <w:r w:rsidRPr="00C53B80">
        <w:t xml:space="preserve"> share the available resources equally, </w:t>
      </w:r>
      <w:r w:rsidRPr="00C53B80">
        <w:rPr>
          <w:i/>
        </w:rPr>
        <w:t>u</w:t>
      </w:r>
      <w:r w:rsidRPr="00C53B80">
        <w:t xml:space="preserve"> can be found by dividing </w:t>
      </w:r>
      <w:r w:rsidRPr="00C53B80">
        <w:rPr>
          <w:i/>
        </w:rPr>
        <w:t>R</w:t>
      </w:r>
      <w:r w:rsidRPr="00C53B80">
        <w:t xml:space="preserve"> by </w:t>
      </w:r>
      <w:r w:rsidRPr="00C53B80">
        <w:rPr>
          <w:i/>
        </w:rPr>
        <w:t>N</w:t>
      </w:r>
      <w:r w:rsidRPr="00C53B80">
        <w:t xml:space="preserve"> (equation </w:t>
      </w:r>
      <w:r w:rsidRPr="00445DD4">
        <w:fldChar w:fldCharType="begin"/>
      </w:r>
      <w:r w:rsidRPr="00C53B80">
        <w:instrText xml:space="preserve"> REF EQ_u \h </w:instrText>
      </w:r>
      <w:r>
        <w:instrText xml:space="preserve"> \* MERGEFORMAT </w:instrText>
      </w:r>
      <w:r w:rsidRPr="00445DD4">
        <w:fldChar w:fldCharType="separate"/>
      </w:r>
      <w:r>
        <w:rPr>
          <w:noProof/>
        </w:rPr>
        <w:t>1</w:t>
      </w:r>
      <w:r w:rsidRPr="00445DD4">
        <w:fldChar w:fldCharType="end"/>
      </w:r>
      <w:r w:rsidRPr="00C53B80">
        <w:t>)</w:t>
      </w:r>
    </w:p>
    <w:p w14:paraId="57E06975" w14:textId="77777777" w:rsidR="009042C0" w:rsidRPr="00445DD4" w:rsidRDefault="009042C0" w:rsidP="009042C0">
      <w:pPr>
        <w:pStyle w:val="EQ"/>
      </w:pPr>
      <w:r w:rsidRPr="00445DD4">
        <w:tab/>
      </w:r>
      <m:oMath>
        <m:r>
          <w:rPr>
            <w:rFonts w:ascii="Cambria Math" w:hAnsi="Cambria Math"/>
          </w:rPr>
          <m:t>u=</m:t>
        </m:r>
        <m:f>
          <m:fPr>
            <m:ctrlPr>
              <w:rPr>
                <w:rFonts w:ascii="Cambria Math" w:hAnsi="Cambria Math"/>
                <w:i/>
              </w:rPr>
            </m:ctrlPr>
          </m:fPr>
          <m:num>
            <m:r>
              <w:rPr>
                <w:rFonts w:ascii="Cambria Math" w:hAnsi="Cambria Math"/>
              </w:rPr>
              <m:t>R</m:t>
            </m:r>
          </m:num>
          <m:den>
            <m:r>
              <w:rPr>
                <w:rFonts w:ascii="Cambria Math" w:hAnsi="Cambria Math"/>
              </w:rPr>
              <m:t>N</m:t>
            </m:r>
          </m:den>
        </m:f>
      </m:oMath>
      <w:r w:rsidRPr="00445DD4">
        <w:tab/>
        <w:t>(</w:t>
      </w:r>
      <w:fldSimple w:instr=" SEQ Eq \* MERGEFORMAT ">
        <w:r>
          <w:t>1</w:t>
        </w:r>
      </w:fldSimple>
      <w:r w:rsidRPr="00445DD4">
        <w:t>)</w:t>
      </w:r>
    </w:p>
    <w:p w14:paraId="573A8D69" w14:textId="0ABE87EB" w:rsidR="009042C0" w:rsidRPr="00015AE2" w:rsidRDefault="009042C0" w:rsidP="009042C0">
      <w:pPr>
        <w:pStyle w:val="BodyText"/>
      </w:pPr>
      <w:r w:rsidRPr="00C53B80">
        <w:t xml:space="preserve">When the channel load is the only input parameter to the </w:t>
      </w:r>
      <w:r>
        <w:t>control algorithm</w:t>
      </w:r>
      <w:r w:rsidRPr="00C53B80">
        <w:t xml:space="preserve">, the transmitters do not know the number of other transmitters contributing to the channel load, and the distribution of the channel load cannot be done by just dividing the available resources by the number of nodes. The </w:t>
      </w:r>
      <w:r>
        <w:t>control</w:t>
      </w:r>
      <w:r w:rsidRPr="00C53B80">
        <w:t xml:space="preserve"> algorithm </w:t>
      </w:r>
      <w:r>
        <w:t>can only</w:t>
      </w:r>
      <w:r w:rsidRPr="00C53B80">
        <w:t xml:space="preserve"> inherently divide the resources equally from only knowing the channel load. This </w:t>
      </w:r>
      <w:r>
        <w:t>is possible</w:t>
      </w:r>
      <w:r w:rsidRPr="00C53B80">
        <w:t xml:space="preserve"> when the channel load has a </w:t>
      </w:r>
      <w:r w:rsidR="00183025" w:rsidRPr="00C53B80">
        <w:t>one-to-one</w:t>
      </w:r>
      <w:r w:rsidRPr="00C53B80">
        <w:t xml:space="preserve"> relation to the </w:t>
      </w:r>
      <w:r w:rsidRPr="00015AE2">
        <w:t>number of nodes.</w:t>
      </w:r>
    </w:p>
    <w:p w14:paraId="7C4FE229" w14:textId="77777777" w:rsidR="009042C0" w:rsidRPr="00C53B80" w:rsidRDefault="009042C0" w:rsidP="009042C0">
      <w:pPr>
        <w:pStyle w:val="BodyText"/>
      </w:pPr>
      <w:r w:rsidRPr="00015AE2">
        <w:t>ETSI specifies in TS 103 175 a linear relation between the channel load limit and the number of contributing nodes (</w:t>
      </w:r>
      <w:r>
        <w:t xml:space="preserve">see also Annex A and </w:t>
      </w:r>
      <w:r w:rsidRPr="00015AE2">
        <w:t>equation </w:t>
      </w:r>
      <w:r w:rsidRPr="00015AE2">
        <w:fldChar w:fldCharType="begin"/>
      </w:r>
      <w:r w:rsidRPr="00015AE2">
        <w:instrText xml:space="preserve"> REF EQ_CBR \h </w:instrText>
      </w:r>
      <w:r w:rsidRPr="00673D02">
        <w:instrText xml:space="preserve"> \* MERGEFORMAT </w:instrText>
      </w:r>
      <w:r w:rsidRPr="00015AE2">
        <w:fldChar w:fldCharType="separate"/>
      </w:r>
      <w:r>
        <w:rPr>
          <w:noProof/>
        </w:rPr>
        <w:t>2</w:t>
      </w:r>
      <w:r w:rsidRPr="00015AE2">
        <w:fldChar w:fldCharType="end"/>
      </w:r>
      <w:r w:rsidRPr="00015AE2">
        <w:t>).</w:t>
      </w:r>
    </w:p>
    <w:p w14:paraId="1FA44A1D" w14:textId="77777777" w:rsidR="009042C0" w:rsidRPr="00445DD4" w:rsidRDefault="009042C0" w:rsidP="009042C0">
      <w:pPr>
        <w:pStyle w:val="EQ"/>
      </w:pPr>
      <w:r w:rsidRPr="00445DD4">
        <w:tab/>
      </w:r>
      <m:oMath>
        <m:sSub>
          <m:sSubPr>
            <m:ctrlPr>
              <w:rPr>
                <w:rFonts w:ascii="Cambria Math" w:hAnsi="Cambria Math"/>
                <w:i/>
              </w:rPr>
            </m:ctrlPr>
          </m:sSubPr>
          <m:e>
            <m:r>
              <w:rPr>
                <w:rFonts w:ascii="Cambria Math" w:hAnsi="Cambria Math"/>
              </w:rPr>
              <m:t>CBR</m:t>
            </m:r>
          </m:e>
          <m:sub>
            <m:r>
              <w:rPr>
                <w:rFonts w:ascii="Cambria Math" w:hAnsi="Cambria Math"/>
              </w:rPr>
              <m:t>Limit</m:t>
            </m:r>
          </m:sub>
        </m:sSub>
        <m:r>
          <w:rPr>
            <w:rFonts w:ascii="Cambria Math" w:hAnsi="Cambria Math"/>
          </w:rPr>
          <m:t>=N∙a+b</m:t>
        </m:r>
      </m:oMath>
      <w:r w:rsidRPr="00445DD4">
        <w:tab/>
        <w:t>(</w:t>
      </w:r>
      <w:fldSimple w:instr=" SEQ Eq \* MERGEFORMAT ">
        <w:r>
          <w:t>2</w:t>
        </w:r>
      </w:fldSimple>
      <w:r w:rsidRPr="00445DD4">
        <w:t>)</w:t>
      </w:r>
    </w:p>
    <w:p w14:paraId="7CBC00BD" w14:textId="2128D63B" w:rsidR="009042C0" w:rsidRDefault="009042C0" w:rsidP="009042C0">
      <w:pPr>
        <w:pStyle w:val="BodyText"/>
      </w:pPr>
      <w:r w:rsidRPr="00C53B80">
        <w:t xml:space="preserve">Where </w:t>
      </w:r>
      <w:r w:rsidRPr="00C53B80">
        <w:rPr>
          <w:i/>
        </w:rPr>
        <w:t>CBR</w:t>
      </w:r>
      <w:r w:rsidRPr="00673D02">
        <w:rPr>
          <w:vertAlign w:val="subscript"/>
        </w:rPr>
        <w:t>Limit</w:t>
      </w:r>
      <w:r w:rsidRPr="00C53B80">
        <w:t xml:space="preserve"> is the upper channel busy ratio limit </w:t>
      </w:r>
      <w:r>
        <w:t>that should not be exceeded by</w:t>
      </w:r>
      <w:r w:rsidRPr="00C53B80">
        <w:t xml:space="preserve"> the measured channel load </w:t>
      </w:r>
      <w:r w:rsidRPr="00C53B80">
        <w:rPr>
          <w:i/>
        </w:rPr>
        <w:t xml:space="preserve">CL </w:t>
      </w:r>
      <w:r w:rsidRPr="00C53B80">
        <w:t xml:space="preserve">and </w:t>
      </w:r>
      <w:r w:rsidRPr="00C53B80">
        <w:rPr>
          <w:i/>
        </w:rPr>
        <w:t>a</w:t>
      </w:r>
      <w:r w:rsidRPr="00C53B80">
        <w:t xml:space="preserve"> and </w:t>
      </w:r>
      <w:r w:rsidRPr="00C53B80">
        <w:rPr>
          <w:i/>
        </w:rPr>
        <w:t>b</w:t>
      </w:r>
      <w:r w:rsidRPr="00C53B80">
        <w:t xml:space="preserve"> are parameters. An example for </w:t>
      </w:r>
      <w:r w:rsidRPr="00C53B80">
        <w:rPr>
          <w:i/>
        </w:rPr>
        <w:t>a</w:t>
      </w:r>
      <w:r w:rsidRPr="00C53B80">
        <w:t xml:space="preserve"> = 1/4000 and </w:t>
      </w:r>
      <w:r w:rsidRPr="00C53B80">
        <w:rPr>
          <w:i/>
        </w:rPr>
        <w:t>b</w:t>
      </w:r>
      <w:r w:rsidRPr="00C53B80">
        <w:t xml:space="preserve"> = 0.62 </w:t>
      </w:r>
      <w:r>
        <w:t>based on [</w:t>
      </w:r>
      <w:r w:rsidRPr="00436A20">
        <w:t>ETSI</w:t>
      </w:r>
      <w:r>
        <w:t> </w:t>
      </w:r>
      <w:r w:rsidRPr="00F84064">
        <w:t>EN</w:t>
      </w:r>
      <w:r>
        <w:t> </w:t>
      </w:r>
      <w:r w:rsidRPr="00F84064">
        <w:t>303</w:t>
      </w:r>
      <w:r>
        <w:t> </w:t>
      </w:r>
      <w:r w:rsidRPr="00F84064">
        <w:t>797</w:t>
      </w:r>
      <w:r>
        <w:t> </w:t>
      </w:r>
      <w:r w:rsidRPr="00F84064">
        <w:t>V2.1.1</w:t>
      </w:r>
      <w:r>
        <w:t xml:space="preserve">] </w:t>
      </w:r>
      <w:r w:rsidRPr="00C53B80">
        <w:t xml:space="preserve">is shown in </w:t>
      </w:r>
      <w:r w:rsidR="00CF128B">
        <w:fldChar w:fldCharType="begin"/>
      </w:r>
      <w:r w:rsidR="00CF128B">
        <w:instrText xml:space="preserve"> REF _Ref197332023 \h </w:instrText>
      </w:r>
      <w:r w:rsidR="00CF128B">
        <w:fldChar w:fldCharType="separate"/>
      </w:r>
      <w:r w:rsidR="00CF128B" w:rsidRPr="00445DD4">
        <w:t xml:space="preserve">Figure </w:t>
      </w:r>
      <w:r w:rsidR="00CF128B">
        <w:rPr>
          <w:noProof/>
        </w:rPr>
        <w:t>18</w:t>
      </w:r>
      <w:r w:rsidR="00CF128B">
        <w:fldChar w:fldCharType="end"/>
      </w:r>
      <w:r w:rsidR="00CF128B">
        <w:t>.</w:t>
      </w:r>
    </w:p>
    <w:p w14:paraId="53755A6E" w14:textId="77777777" w:rsidR="009042C0" w:rsidRDefault="009042C0" w:rsidP="009042C0">
      <w:pPr>
        <w:pStyle w:val="FL"/>
      </w:pPr>
      <w:r>
        <w:rPr>
          <w:noProof/>
          <w:lang w:val="it-IT" w:eastAsia="it-IT"/>
        </w:rPr>
        <w:drawing>
          <wp:inline distT="0" distB="0" distL="0" distR="0" wp14:anchorId="53FE75B6" wp14:editId="63F698A3">
            <wp:extent cx="6115207" cy="1320120"/>
            <wp:effectExtent l="0" t="0" r="0" b="0"/>
            <wp:docPr id="131875012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3317" b="9288"/>
                    <a:stretch/>
                  </pic:blipFill>
                  <pic:spPr bwMode="auto">
                    <a:xfrm>
                      <a:off x="0" y="0"/>
                      <a:ext cx="6120130" cy="1321183"/>
                    </a:xfrm>
                    <a:prstGeom prst="rect">
                      <a:avLst/>
                    </a:prstGeom>
                    <a:noFill/>
                    <a:ln>
                      <a:noFill/>
                    </a:ln>
                    <a:extLst>
                      <a:ext uri="{53640926-AAD7-44D8-BBD7-CCE9431645EC}">
                        <a14:shadowObscured xmlns:a14="http://schemas.microsoft.com/office/drawing/2010/main"/>
                      </a:ext>
                    </a:extLst>
                  </pic:spPr>
                </pic:pic>
              </a:graphicData>
            </a:graphic>
          </wp:inline>
        </w:drawing>
      </w:r>
    </w:p>
    <w:p w14:paraId="581B0CE5" w14:textId="36AF6874" w:rsidR="009042C0" w:rsidRPr="00445DD4" w:rsidRDefault="009042C0" w:rsidP="009042C0">
      <w:pPr>
        <w:pStyle w:val="TF"/>
      </w:pPr>
      <w:bookmarkStart w:id="284" w:name="_Ref197332023"/>
      <w:r w:rsidRPr="00445DD4">
        <w:t xml:space="preserve">Figure </w:t>
      </w:r>
      <w:r w:rsidR="00115785">
        <w:fldChar w:fldCharType="begin"/>
      </w:r>
      <w:r w:rsidR="00115785">
        <w:instrText xml:space="preserve"> SEQ Figure \* ARABIC </w:instrText>
      </w:r>
      <w:r w:rsidR="00115785">
        <w:fldChar w:fldCharType="separate"/>
      </w:r>
      <w:r w:rsidR="00115785">
        <w:rPr>
          <w:noProof/>
        </w:rPr>
        <w:t>18</w:t>
      </w:r>
      <w:r w:rsidR="00115785">
        <w:rPr>
          <w:noProof/>
        </w:rPr>
        <w:fldChar w:fldCharType="end"/>
      </w:r>
      <w:bookmarkEnd w:id="284"/>
      <w:r w:rsidRPr="00445DD4">
        <w:tab/>
      </w:r>
      <w:r>
        <w:t>Example of a CBR limit according to equation </w:t>
      </w:r>
      <w:r w:rsidRPr="00445DD4">
        <w:fldChar w:fldCharType="begin"/>
      </w:r>
      <w:r w:rsidRPr="00445DD4">
        <w:instrText xml:space="preserve"> REF EQ_CBR \h </w:instrText>
      </w:r>
      <w:r w:rsidRPr="00445DD4">
        <w:fldChar w:fldCharType="separate"/>
      </w:r>
      <w:r>
        <w:rPr>
          <w:noProof/>
        </w:rPr>
        <w:t>2</w:t>
      </w:r>
      <w:r w:rsidRPr="00445DD4">
        <w:fldChar w:fldCharType="end"/>
      </w:r>
      <w:r w:rsidRPr="00445DD4">
        <w:t>.</w:t>
      </w:r>
    </w:p>
    <w:p w14:paraId="20CA8C5A" w14:textId="77777777" w:rsidR="009042C0" w:rsidRPr="00C53B80" w:rsidRDefault="009042C0" w:rsidP="009042C0">
      <w:pPr>
        <w:pStyle w:val="BodyText"/>
      </w:pPr>
      <w:r w:rsidRPr="00C53B80">
        <w:t xml:space="preserve">The measured channel load results from the sum of the channel utilizations </w:t>
      </w:r>
      <w:r w:rsidRPr="00C53B80">
        <w:rPr>
          <w:i/>
        </w:rPr>
        <w:t>u</w:t>
      </w:r>
      <w:r w:rsidRPr="00C53B80">
        <w:t xml:space="preserve"> of all nodes (equation </w:t>
      </w:r>
      <w:r w:rsidRPr="00445DD4">
        <w:fldChar w:fldCharType="begin"/>
      </w:r>
      <w:r w:rsidRPr="00C53B80">
        <w:instrText xml:space="preserve"> REF EQ_CL \h </w:instrText>
      </w:r>
      <w:r w:rsidRPr="00445DD4">
        <w:fldChar w:fldCharType="separate"/>
      </w:r>
      <w:r>
        <w:rPr>
          <w:noProof/>
        </w:rPr>
        <w:t>3</w:t>
      </w:r>
      <w:r w:rsidRPr="00445DD4">
        <w:fldChar w:fldCharType="end"/>
      </w:r>
      <w:r w:rsidRPr="00C53B80">
        <w:t>).</w:t>
      </w:r>
    </w:p>
    <w:p w14:paraId="15772666" w14:textId="77777777" w:rsidR="009042C0" w:rsidRPr="00445DD4" w:rsidRDefault="009042C0" w:rsidP="009042C0">
      <w:pPr>
        <w:pStyle w:val="EQ"/>
      </w:pPr>
      <w:r w:rsidRPr="00445DD4">
        <w:tab/>
      </w:r>
      <m:oMath>
        <m:r>
          <w:rPr>
            <w:rFonts w:ascii="Cambria Math" w:hAnsi="Cambria Math"/>
          </w:rPr>
          <m:t>CL=</m:t>
        </m:r>
        <m:nary>
          <m:naryPr>
            <m:chr m:val="∑"/>
            <m:limLoc m:val="undOvr"/>
            <m:ctrlPr>
              <w:rPr>
                <w:rFonts w:ascii="Cambria Math" w:hAnsi="Cambria Math"/>
                <w:i/>
              </w:rPr>
            </m:ctrlPr>
          </m:naryPr>
          <m:sub>
            <m:r>
              <w:rPr>
                <w:rFonts w:ascii="Cambria Math" w:hAnsi="Cambria Math"/>
              </w:rPr>
              <m:t>k=1</m:t>
            </m:r>
          </m:sub>
          <m:sup>
            <m:r>
              <w:rPr>
                <w:rFonts w:ascii="Cambria Math" w:hAnsi="Cambria Math"/>
              </w:rPr>
              <m:t>N</m:t>
            </m:r>
          </m:sup>
          <m:e>
            <m:sSub>
              <m:sSubPr>
                <m:ctrlPr>
                  <w:rPr>
                    <w:rFonts w:ascii="Cambria Math" w:hAnsi="Cambria Math"/>
                    <w:i/>
                  </w:rPr>
                </m:ctrlPr>
              </m:sSubPr>
              <m:e>
                <m:r>
                  <w:rPr>
                    <w:rFonts w:ascii="Cambria Math" w:hAnsi="Cambria Math"/>
                  </w:rPr>
                  <m:t>u</m:t>
                </m:r>
              </m:e>
              <m:sub>
                <m:r>
                  <w:rPr>
                    <w:rFonts w:ascii="Cambria Math" w:hAnsi="Cambria Math"/>
                  </w:rPr>
                  <m:t>k</m:t>
                </m:r>
              </m:sub>
            </m:sSub>
          </m:e>
        </m:nary>
      </m:oMath>
      <w:r w:rsidRPr="00445DD4">
        <w:tab/>
        <w:t>(</w:t>
      </w:r>
      <w:fldSimple w:instr=" SEQ Eq \* MERGEFORMAT ">
        <w:r>
          <w:t>3</w:t>
        </w:r>
      </w:fldSimple>
      <w:r w:rsidRPr="00445DD4">
        <w:t>)</w:t>
      </w:r>
    </w:p>
    <w:p w14:paraId="1708D865" w14:textId="7AEBF4C8" w:rsidR="009042C0" w:rsidRPr="00C53B80" w:rsidRDefault="00CF128B" w:rsidP="009042C0">
      <w:pPr>
        <w:pStyle w:val="BodyText"/>
      </w:pPr>
      <w:r>
        <w:fldChar w:fldCharType="begin"/>
      </w:r>
      <w:r>
        <w:instrText xml:space="preserve"> REF _Ref197332105 \h </w:instrText>
      </w:r>
      <w:r>
        <w:fldChar w:fldCharType="separate"/>
      </w:r>
      <w:r w:rsidRPr="00445DD4">
        <w:t xml:space="preserve">Figure </w:t>
      </w:r>
      <w:r>
        <w:rPr>
          <w:noProof/>
        </w:rPr>
        <w:t>19</w:t>
      </w:r>
      <w:r>
        <w:fldChar w:fldCharType="end"/>
      </w:r>
      <w:r>
        <w:t xml:space="preserve"> </w:t>
      </w:r>
      <w:r w:rsidR="009042C0" w:rsidRPr="00C53B80">
        <w:t xml:space="preserve">shows the contribution of each rate controller to the channel load. Other types of </w:t>
      </w:r>
      <w:r w:rsidR="009042C0">
        <w:t>congestion control</w:t>
      </w:r>
      <w:r w:rsidR="009042C0" w:rsidRPr="00C53B80">
        <w:t xml:space="preserve"> are not considered in </w:t>
      </w:r>
      <w:r w:rsidR="009042C0">
        <w:t>the present document</w:t>
      </w:r>
      <w:r w:rsidR="009042C0" w:rsidRPr="00C53B80">
        <w:t xml:space="preserve"> since they are less effective and more complicated to implement.</w:t>
      </w:r>
    </w:p>
    <w:p w14:paraId="49625D27" w14:textId="77777777" w:rsidR="009042C0" w:rsidRPr="00445DD4" w:rsidRDefault="009042C0" w:rsidP="009042C0">
      <w:pPr>
        <w:pStyle w:val="FL"/>
      </w:pPr>
      <w:r w:rsidRPr="00445DD4">
        <w:rPr>
          <w:noProof/>
          <w:lang w:val="it-IT" w:eastAsia="it-IT"/>
        </w:rPr>
        <w:drawing>
          <wp:inline distT="0" distB="0" distL="0" distR="0" wp14:anchorId="064A9709" wp14:editId="16C9152F">
            <wp:extent cx="1126800" cy="1512000"/>
            <wp:effectExtent l="0" t="0" r="0" b="0"/>
            <wp:docPr id="507367351" name="Grafik 595505439"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67351" name="Grafik 595505439" descr="A black background with a black square&#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26800" cy="1512000"/>
                    </a:xfrm>
                    <a:prstGeom prst="rect">
                      <a:avLst/>
                    </a:prstGeom>
                    <a:noFill/>
                  </pic:spPr>
                </pic:pic>
              </a:graphicData>
            </a:graphic>
          </wp:inline>
        </w:drawing>
      </w:r>
    </w:p>
    <w:p w14:paraId="5D9C7F6D" w14:textId="491A9585" w:rsidR="009042C0" w:rsidRPr="00445DD4" w:rsidRDefault="009042C0" w:rsidP="009042C0">
      <w:pPr>
        <w:pStyle w:val="TF"/>
      </w:pPr>
      <w:bookmarkStart w:id="285" w:name="_Ref197332105"/>
      <w:r w:rsidRPr="00445DD4">
        <w:t xml:space="preserve">Figure </w:t>
      </w:r>
      <w:r w:rsidR="00115785">
        <w:fldChar w:fldCharType="begin"/>
      </w:r>
      <w:r w:rsidR="00115785">
        <w:instrText xml:space="preserve"> SEQ Figure \* ARABIC </w:instrText>
      </w:r>
      <w:r w:rsidR="00115785">
        <w:fldChar w:fldCharType="separate"/>
      </w:r>
      <w:r w:rsidR="00115785">
        <w:rPr>
          <w:noProof/>
        </w:rPr>
        <w:t>19</w:t>
      </w:r>
      <w:r w:rsidR="00115785">
        <w:rPr>
          <w:noProof/>
        </w:rPr>
        <w:fldChar w:fldCharType="end"/>
      </w:r>
      <w:bookmarkEnd w:id="285"/>
      <w:r w:rsidRPr="00445DD4">
        <w:tab/>
        <w:t>Contribution of each rate control to the channel load.</w:t>
      </w:r>
    </w:p>
    <w:p w14:paraId="57D165C4" w14:textId="77777777" w:rsidR="009042C0" w:rsidRPr="00C53B80" w:rsidRDefault="009042C0" w:rsidP="009042C0">
      <w:pPr>
        <w:pStyle w:val="BodyText"/>
      </w:pPr>
      <w:r w:rsidRPr="00C53B80">
        <w:t xml:space="preserve">When </w:t>
      </w:r>
      <w:r>
        <w:t>all rate controllers are the same</w:t>
      </w:r>
      <w:r w:rsidRPr="00C53B80">
        <w:t>, all</w:t>
      </w:r>
      <w:r>
        <w:t xml:space="preserve"> channel utilisations</w:t>
      </w:r>
      <w:r w:rsidRPr="00C53B80">
        <w:t xml:space="preserve"> </w:t>
      </w:r>
      <w:r w:rsidRPr="00C53B80">
        <w:rPr>
          <w:i/>
        </w:rPr>
        <w:t>u</w:t>
      </w:r>
      <w:r w:rsidRPr="00C53B80">
        <w:rPr>
          <w:i/>
          <w:vertAlign w:val="subscript"/>
        </w:rPr>
        <w:t>k</w:t>
      </w:r>
      <w:r w:rsidRPr="00C53B80">
        <w:t xml:space="preserve"> are equal </w:t>
      </w:r>
      <w:r>
        <w:t xml:space="preserve">to </w:t>
      </w:r>
      <w:r>
        <w:rPr>
          <w:i/>
        </w:rPr>
        <w:t>u</w:t>
      </w:r>
      <w:r w:rsidRPr="00C53B80">
        <w:t xml:space="preserve"> and the </w:t>
      </w:r>
      <w:r>
        <w:t xml:space="preserve">resulting </w:t>
      </w:r>
      <w:r w:rsidRPr="00C53B80">
        <w:t xml:space="preserve">channel load </w:t>
      </w:r>
      <w:r>
        <w:rPr>
          <w:i/>
        </w:rPr>
        <w:t>CL</w:t>
      </w:r>
      <w:r>
        <w:t xml:space="preserve"> </w:t>
      </w:r>
      <w:r w:rsidRPr="00C53B80">
        <w:t>is given by equation </w:t>
      </w:r>
      <w:r w:rsidRPr="00445DD4">
        <w:fldChar w:fldCharType="begin"/>
      </w:r>
      <w:r w:rsidRPr="00C53B80">
        <w:instrText xml:space="preserve"> REF EQ_CL_Nu \h </w:instrText>
      </w:r>
      <w:r w:rsidRPr="00445DD4">
        <w:fldChar w:fldCharType="separate"/>
      </w:r>
      <w:r>
        <w:rPr>
          <w:noProof/>
        </w:rPr>
        <w:t>4</w:t>
      </w:r>
      <w:r w:rsidRPr="00445DD4">
        <w:fldChar w:fldCharType="end"/>
      </w:r>
      <w:r w:rsidRPr="00C53B80">
        <w:t>.</w:t>
      </w:r>
    </w:p>
    <w:p w14:paraId="173A02FF" w14:textId="77777777" w:rsidR="009042C0" w:rsidRDefault="009042C0" w:rsidP="009042C0">
      <w:pPr>
        <w:pStyle w:val="EQ"/>
      </w:pPr>
      <w:r w:rsidRPr="00445DD4">
        <w:tab/>
      </w:r>
      <m:oMath>
        <m:r>
          <w:rPr>
            <w:rFonts w:ascii="Cambria Math" w:hAnsi="Cambria Math"/>
          </w:rPr>
          <m:t>CL=N∙u</m:t>
        </m:r>
      </m:oMath>
      <w:r w:rsidRPr="00445DD4">
        <w:tab/>
        <w:t>(</w:t>
      </w:r>
      <w:fldSimple w:instr=" SEQ Eq \* MERGEFORMAT ">
        <w:r>
          <w:t>4</w:t>
        </w:r>
      </w:fldSimple>
      <w:r w:rsidRPr="00445DD4">
        <w:t>)</w:t>
      </w:r>
    </w:p>
    <w:p w14:paraId="2791AE9B" w14:textId="77777777" w:rsidR="009042C0" w:rsidRPr="00C53B80" w:rsidRDefault="009042C0" w:rsidP="009042C0">
      <w:pPr>
        <w:pStyle w:val="BodyText"/>
      </w:pPr>
      <w:r w:rsidRPr="00C53B80">
        <w:t xml:space="preserve">When </w:t>
      </w:r>
      <w:r>
        <w:t>these equal</w:t>
      </w:r>
      <w:r w:rsidRPr="00C53B80">
        <w:t xml:space="preserve"> rate </w:t>
      </w:r>
      <w:r>
        <w:t xml:space="preserve">controllers are working </w:t>
      </w:r>
      <w:r w:rsidRPr="00C53B80">
        <w:t xml:space="preserve">properly and equilibrium is reached, all </w:t>
      </w:r>
      <w:r w:rsidRPr="00C53B80">
        <w:rPr>
          <w:i/>
        </w:rPr>
        <w:t>u</w:t>
      </w:r>
      <w:r w:rsidRPr="00C53B80">
        <w:rPr>
          <w:i/>
          <w:vertAlign w:val="subscript"/>
        </w:rPr>
        <w:t>k</w:t>
      </w:r>
      <w:r w:rsidRPr="00C53B80">
        <w:t xml:space="preserve"> are equal </w:t>
      </w:r>
      <m:oMath>
        <m:acc>
          <m:accPr>
            <m:chr m:val="̃"/>
            <m:ctrlPr>
              <w:rPr>
                <w:rFonts w:ascii="Cambria Math" w:hAnsi="Cambria Math"/>
                <w:i/>
                <w:noProof/>
              </w:rPr>
            </m:ctrlPr>
          </m:accPr>
          <m:e>
            <m:r>
              <w:rPr>
                <w:rFonts w:ascii="Cambria Math" w:hAnsi="Cambria Math"/>
              </w:rPr>
              <m:t>u</m:t>
            </m:r>
          </m:e>
        </m:acc>
      </m:oMath>
      <w:r w:rsidRPr="00C53B80">
        <w:t xml:space="preserve"> and the </w:t>
      </w:r>
      <w:r>
        <w:t xml:space="preserve">resulting steady state </w:t>
      </w:r>
      <w:r w:rsidRPr="00C53B80">
        <w:t xml:space="preserve">channel load </w:t>
      </w:r>
      <m:oMath>
        <m:acc>
          <m:accPr>
            <m:chr m:val="̃"/>
            <m:ctrlPr>
              <w:rPr>
                <w:rFonts w:ascii="Cambria Math" w:hAnsi="Cambria Math"/>
                <w:i/>
                <w:noProof/>
              </w:rPr>
            </m:ctrlPr>
          </m:accPr>
          <m:e>
            <m:r>
              <w:rPr>
                <w:rFonts w:ascii="Cambria Math" w:hAnsi="Cambria Math"/>
              </w:rPr>
              <m:t>CL</m:t>
            </m:r>
          </m:e>
        </m:acc>
      </m:oMath>
      <w:r>
        <w:t xml:space="preserve"> </w:t>
      </w:r>
      <w:r w:rsidRPr="00C53B80">
        <w:t>is given by equation </w:t>
      </w:r>
      <w:r>
        <w:fldChar w:fldCharType="begin"/>
      </w:r>
      <w:r>
        <w:instrText xml:space="preserve"> REF EQ_u_equilibrium \h </w:instrText>
      </w:r>
      <w:r>
        <w:fldChar w:fldCharType="separate"/>
      </w:r>
      <w:r>
        <w:rPr>
          <w:noProof/>
        </w:rPr>
        <w:t>5</w:t>
      </w:r>
      <w:r>
        <w:fldChar w:fldCharType="end"/>
      </w:r>
      <w:r w:rsidRPr="00C53B80">
        <w:t>.</w:t>
      </w:r>
    </w:p>
    <w:p w14:paraId="1AE42C1B" w14:textId="77777777" w:rsidR="009042C0" w:rsidRDefault="009042C0" w:rsidP="009042C0">
      <w:pPr>
        <w:pStyle w:val="EQ"/>
      </w:pPr>
      <w:r w:rsidRPr="00445DD4">
        <w:tab/>
      </w:r>
      <m:oMath>
        <m:acc>
          <m:accPr>
            <m:chr m:val="̃"/>
            <m:ctrlPr>
              <w:rPr>
                <w:rFonts w:ascii="Cambria Math" w:hAnsi="Cambria Math"/>
                <w:i/>
              </w:rPr>
            </m:ctrlPr>
          </m:accPr>
          <m:e>
            <m:r>
              <w:rPr>
                <w:rFonts w:ascii="Cambria Math" w:hAnsi="Cambria Math"/>
              </w:rPr>
              <m:t>CL</m:t>
            </m:r>
          </m:e>
        </m:acc>
        <m:r>
          <w:rPr>
            <w:rFonts w:ascii="Cambria Math" w:hAnsi="Cambria Math"/>
          </w:rPr>
          <m:t>=N∙</m:t>
        </m:r>
        <m:acc>
          <m:accPr>
            <m:chr m:val="̃"/>
            <m:ctrlPr>
              <w:rPr>
                <w:rFonts w:ascii="Cambria Math" w:hAnsi="Cambria Math"/>
                <w:i/>
              </w:rPr>
            </m:ctrlPr>
          </m:accPr>
          <m:e>
            <m:r>
              <w:rPr>
                <w:rFonts w:ascii="Cambria Math" w:hAnsi="Cambria Math"/>
              </w:rPr>
              <m:t>u</m:t>
            </m:r>
          </m:e>
        </m:acc>
      </m:oMath>
      <w:r w:rsidRPr="00445DD4">
        <w:tab/>
        <w:t>(</w:t>
      </w:r>
      <w:bookmarkStart w:id="286" w:name="EQ_u_equilibrium"/>
      <w:r w:rsidRPr="00445DD4">
        <w:fldChar w:fldCharType="begin"/>
      </w:r>
      <w:r w:rsidRPr="00445DD4">
        <w:instrText xml:space="preserve"> SEQ Eq \* MERGEFORMAT </w:instrText>
      </w:r>
      <w:r w:rsidRPr="00445DD4">
        <w:fldChar w:fldCharType="separate"/>
      </w:r>
      <w:r>
        <w:t>5</w:t>
      </w:r>
      <w:r w:rsidRPr="00445DD4">
        <w:fldChar w:fldCharType="end"/>
      </w:r>
      <w:bookmarkEnd w:id="286"/>
      <w:r w:rsidRPr="00445DD4">
        <w:t>)</w:t>
      </w:r>
    </w:p>
    <w:p w14:paraId="3E7CB956" w14:textId="77777777" w:rsidR="009042C0" w:rsidRPr="00445DD4" w:rsidRDefault="009042C0" w:rsidP="009042C0">
      <w:pPr>
        <w:pStyle w:val="Heading3"/>
      </w:pPr>
      <w:bookmarkStart w:id="287" w:name="_Toc197337065"/>
      <w:r>
        <w:t>B.1.2</w:t>
      </w:r>
      <w:r>
        <w:tab/>
      </w:r>
      <w:r w:rsidRPr="00445DD4">
        <w:t>Function of the rate controller</w:t>
      </w:r>
      <w:bookmarkEnd w:id="287"/>
    </w:p>
    <w:p w14:paraId="51DEF48E" w14:textId="77777777" w:rsidR="009042C0" w:rsidRPr="00C53B80" w:rsidRDefault="009042C0" w:rsidP="009042C0">
      <w:pPr>
        <w:pStyle w:val="BodyText"/>
      </w:pPr>
      <w:r w:rsidRPr="00C53B80">
        <w:t xml:space="preserve">The channel utilization </w:t>
      </w:r>
      <w:r w:rsidRPr="00C53B80">
        <w:rPr>
          <w:i/>
        </w:rPr>
        <w:t>u</w:t>
      </w:r>
      <w:r w:rsidRPr="00C53B80">
        <w:t xml:space="preserve"> of each node is controlled by adjusting the time </w:t>
      </w:r>
      <w:r w:rsidRPr="00C53B80">
        <w:rPr>
          <w:i/>
        </w:rPr>
        <w:t>T</w:t>
      </w:r>
      <w:r w:rsidRPr="00C53B80">
        <w:rPr>
          <w:i/>
          <w:vertAlign w:val="subscript"/>
        </w:rPr>
        <w:t>off</w:t>
      </w:r>
      <w:r w:rsidRPr="00C53B80">
        <w:t xml:space="preserve"> in between two transmitted packages according to the given duration </w:t>
      </w:r>
      <w:r w:rsidRPr="00C53B80">
        <w:rPr>
          <w:i/>
        </w:rPr>
        <w:t>T</w:t>
      </w:r>
      <w:r w:rsidRPr="00C53B80">
        <w:rPr>
          <w:i/>
          <w:vertAlign w:val="subscript"/>
        </w:rPr>
        <w:t>on</w:t>
      </w:r>
      <w:r w:rsidRPr="00C53B80">
        <w:t xml:space="preserve"> of the package (equation </w:t>
      </w:r>
      <w:r w:rsidRPr="00445DD4">
        <w:fldChar w:fldCharType="begin"/>
      </w:r>
      <w:r w:rsidRPr="00C53B80">
        <w:instrText xml:space="preserve"> REF EQ_u_T \h </w:instrText>
      </w:r>
      <w:r w:rsidRPr="00445DD4">
        <w:fldChar w:fldCharType="separate"/>
      </w:r>
      <w:r>
        <w:rPr>
          <w:noProof/>
        </w:rPr>
        <w:t>6</w:t>
      </w:r>
      <w:r w:rsidRPr="00445DD4">
        <w:fldChar w:fldCharType="end"/>
      </w:r>
      <w:r w:rsidRPr="00C53B80">
        <w:t xml:space="preserve">), so that the resulting utilization </w:t>
      </w:r>
      <w:r w:rsidRPr="00C53B80">
        <w:rPr>
          <w:i/>
        </w:rPr>
        <w:t>u</w:t>
      </w:r>
      <w:r w:rsidRPr="00C53B80">
        <w:t xml:space="preserve"> does not exceed the limit </w:t>
      </w:r>
      <w:r w:rsidRPr="00C53B80">
        <w:rPr>
          <w:i/>
        </w:rPr>
        <w:t>U</w:t>
      </w:r>
      <w:r w:rsidRPr="00C53B80">
        <w:rPr>
          <w:i/>
          <w:vertAlign w:val="subscript"/>
        </w:rPr>
        <w:t>max</w:t>
      </w:r>
      <w:r w:rsidRPr="00C53B80">
        <w:t xml:space="preserve"> given by (equation </w:t>
      </w:r>
      <w:r w:rsidRPr="00445DD4">
        <w:fldChar w:fldCharType="begin"/>
      </w:r>
      <w:r w:rsidRPr="00C53B80">
        <w:instrText xml:space="preserve"> REF EQ_umax \h </w:instrText>
      </w:r>
      <w:r w:rsidRPr="00445DD4">
        <w:fldChar w:fldCharType="separate"/>
      </w:r>
      <w:r>
        <w:rPr>
          <w:noProof/>
        </w:rPr>
        <w:t>7</w:t>
      </w:r>
      <w:r w:rsidRPr="00445DD4">
        <w:fldChar w:fldCharType="end"/>
      </w:r>
      <w:r w:rsidRPr="00C53B80">
        <w:t xml:space="preserve"> and equation </w:t>
      </w:r>
      <w:r w:rsidRPr="00445DD4">
        <w:fldChar w:fldCharType="begin"/>
      </w:r>
      <w:r w:rsidRPr="00C53B80">
        <w:instrText xml:space="preserve"> REF EQ_u_umax \h </w:instrText>
      </w:r>
      <w:r w:rsidRPr="00445DD4">
        <w:fldChar w:fldCharType="separate"/>
      </w:r>
      <w:r>
        <w:rPr>
          <w:noProof/>
        </w:rPr>
        <w:t>8</w:t>
      </w:r>
      <w:r w:rsidRPr="00445DD4">
        <w:fldChar w:fldCharType="end"/>
      </w:r>
      <w:r w:rsidRPr="00C53B80">
        <w:t>).</w:t>
      </w:r>
    </w:p>
    <w:p w14:paraId="7158BD08" w14:textId="77777777" w:rsidR="009042C0" w:rsidRPr="00445DD4" w:rsidRDefault="009042C0" w:rsidP="009042C0">
      <w:pPr>
        <w:pStyle w:val="EQ"/>
      </w:pPr>
      <w:r w:rsidRPr="00445DD4">
        <w:tab/>
      </w:r>
      <m:oMath>
        <m:r>
          <w:rPr>
            <w:rFonts w:ascii="Cambria Math" w:hAnsi="Cambria Math"/>
          </w:rPr>
          <m:t>u</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off</m:t>
                </m:r>
              </m:sub>
            </m:sSub>
          </m:den>
        </m:f>
      </m:oMath>
      <w:r w:rsidRPr="00445DD4">
        <w:tab/>
        <w:t>(</w:t>
      </w:r>
      <w:fldSimple w:instr=" SEQ Eq \* MERGEFORMAT ">
        <w:r>
          <w:t>6</w:t>
        </w:r>
      </w:fldSimple>
      <w:r w:rsidRPr="00445DD4">
        <w:t>)</w:t>
      </w:r>
    </w:p>
    <w:p w14:paraId="7458C6C0" w14:textId="77777777" w:rsidR="009042C0" w:rsidRPr="00445DD4" w:rsidRDefault="009042C0" w:rsidP="009042C0">
      <w:pPr>
        <w:pStyle w:val="EQ"/>
      </w:pPr>
      <w:r w:rsidRPr="00445DD4">
        <w:tab/>
      </w:r>
      <m:oMath>
        <m:sSub>
          <m:sSubPr>
            <m:ctrlPr>
              <w:rPr>
                <w:rFonts w:ascii="Cambria Math" w:hAnsi="Cambria Math"/>
              </w:rPr>
            </m:ctrlPr>
          </m:sSubPr>
          <m:e>
            <m:r>
              <w:rPr>
                <w:rFonts w:ascii="Cambria Math" w:hAnsi="Cambria Math"/>
              </w:rPr>
              <m:t>U</m:t>
            </m:r>
          </m:e>
          <m:sub>
            <m:r>
              <w:rPr>
                <w:rFonts w:ascii="Cambria Math" w:hAnsi="Cambria Math"/>
              </w: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CBR</m:t>
                </m:r>
              </m:e>
              <m:sub>
                <m:r>
                  <w:rPr>
                    <w:rFonts w:ascii="Cambria Math" w:hAnsi="Cambria Math"/>
                  </w:rPr>
                  <m:t>Limit</m:t>
                </m:r>
              </m:sub>
            </m:sSub>
          </m:num>
          <m:den>
            <m:r>
              <w:rPr>
                <w:rFonts w:ascii="Cambria Math" w:hAnsi="Cambria Math"/>
              </w:rPr>
              <m:t>N</m:t>
            </m:r>
          </m:den>
        </m:f>
      </m:oMath>
      <w:r w:rsidRPr="00445DD4">
        <w:tab/>
        <w:t>(</w:t>
      </w:r>
      <w:fldSimple w:instr=" SEQ Eq \* MERGEFORMAT ">
        <w:r>
          <w:t>7</w:t>
        </w:r>
      </w:fldSimple>
      <w:r w:rsidRPr="00445DD4">
        <w:t>)</w:t>
      </w:r>
    </w:p>
    <w:p w14:paraId="0CCDB4B4" w14:textId="77777777" w:rsidR="009042C0" w:rsidRPr="00445DD4" w:rsidRDefault="009042C0" w:rsidP="009042C0">
      <w:pPr>
        <w:pStyle w:val="EQ"/>
      </w:pPr>
      <w:r w:rsidRPr="00445DD4">
        <w:tab/>
      </w:r>
      <m:oMath>
        <m:r>
          <w:rPr>
            <w:rFonts w:ascii="Cambria Math" w:hAnsi="Cambria Math"/>
          </w:rPr>
          <m:t>u≤</m:t>
        </m:r>
        <m:sSub>
          <m:sSubPr>
            <m:ctrlPr>
              <w:rPr>
                <w:rFonts w:ascii="Cambria Math" w:hAnsi="Cambria Math"/>
                <w:i/>
              </w:rPr>
            </m:ctrlPr>
          </m:sSubPr>
          <m:e>
            <m:r>
              <w:rPr>
                <w:rFonts w:ascii="Cambria Math" w:hAnsi="Cambria Math"/>
              </w:rPr>
              <m:t>U</m:t>
            </m:r>
          </m:e>
          <m:sub>
            <m:r>
              <w:rPr>
                <w:rFonts w:ascii="Cambria Math" w:hAnsi="Cambria Math"/>
              </w:rPr>
              <m:t>max</m:t>
            </m:r>
          </m:sub>
        </m:sSub>
      </m:oMath>
      <w:r w:rsidRPr="00445DD4">
        <w:tab/>
        <w:t>(</w:t>
      </w:r>
      <w:fldSimple w:instr=" SEQ Eq \* MERGEFORMAT ">
        <w:r>
          <w:t>8</w:t>
        </w:r>
      </w:fldSimple>
      <w:r w:rsidRPr="00445DD4">
        <w:t>)</w:t>
      </w:r>
    </w:p>
    <w:p w14:paraId="4A9A2818" w14:textId="77777777" w:rsidR="009042C0" w:rsidRPr="00C53B80" w:rsidRDefault="009042C0" w:rsidP="009042C0">
      <w:r w:rsidRPr="00C53B80">
        <w:t xml:space="preserve">Hence, the rate controller is working in discrete time steps with a variable length of </w:t>
      </w:r>
      <w:r w:rsidRPr="00C53B80">
        <w:rPr>
          <w:i/>
        </w:rPr>
        <w:t>T</w:t>
      </w:r>
      <w:r w:rsidRPr="00C53B80">
        <w:rPr>
          <w:i/>
          <w:vertAlign w:val="subscript"/>
        </w:rPr>
        <w:t>off</w:t>
      </w:r>
      <w:r w:rsidRPr="00C53B80">
        <w:t> +</w:t>
      </w:r>
      <w:r w:rsidRPr="00C53B80">
        <w:rPr>
          <w:i/>
        </w:rPr>
        <w:t>T</w:t>
      </w:r>
      <w:r w:rsidRPr="00C53B80">
        <w:rPr>
          <w:i/>
          <w:vertAlign w:val="subscript"/>
        </w:rPr>
        <w:t>on</w:t>
      </w:r>
      <w:r w:rsidRPr="00C53B80">
        <w:t xml:space="preserve">. </w:t>
      </w:r>
    </w:p>
    <w:p w14:paraId="1700FE3B" w14:textId="77777777" w:rsidR="009042C0" w:rsidRPr="00C53B80" w:rsidRDefault="009042C0" w:rsidP="009042C0">
      <w:pPr>
        <w:pStyle w:val="BodyText"/>
      </w:pPr>
      <w:r w:rsidRPr="00C53B80">
        <w:t xml:space="preserve">The number of nodes </w:t>
      </w:r>
      <w:r w:rsidRPr="00C53B80">
        <w:rPr>
          <w:i/>
        </w:rPr>
        <w:t>N</w:t>
      </w:r>
      <w:r w:rsidRPr="00C53B80">
        <w:t xml:space="preserve"> is unknown to each node, but an upper bound for the number of nodes</w:t>
      </w:r>
      <w:r w:rsidRPr="00C53B80">
        <w:rPr>
          <w:i/>
        </w:rPr>
        <w:t xml:space="preserve"> N</w:t>
      </w:r>
      <w:r w:rsidRPr="00C53B80">
        <w:rPr>
          <w:i/>
          <w:vertAlign w:val="subscript"/>
        </w:rPr>
        <w:t>est</w:t>
      </w:r>
      <w:r w:rsidRPr="00C53B80">
        <w:t xml:space="preserve"> can be estimated from the measured channel load </w:t>
      </w:r>
      <w:r w:rsidRPr="00C53B80">
        <w:rPr>
          <w:i/>
        </w:rPr>
        <w:t>CL</w:t>
      </w:r>
      <w:r w:rsidRPr="00C53B80">
        <w:t xml:space="preserve"> when assuming that </w:t>
      </w:r>
      <w:r w:rsidRPr="00C53B80">
        <w:rPr>
          <w:i/>
        </w:rPr>
        <w:t>CL</w:t>
      </w:r>
      <w:r w:rsidRPr="00C53B80">
        <w:t>≤</w:t>
      </w:r>
      <w:r w:rsidRPr="00C53B80">
        <w:rPr>
          <w:i/>
        </w:rPr>
        <w:t>CBR</w:t>
      </w:r>
      <w:r w:rsidRPr="00673D02">
        <w:rPr>
          <w:vertAlign w:val="subscript"/>
        </w:rPr>
        <w:t>Limit</w:t>
      </w:r>
      <w:r w:rsidRPr="00C53B80">
        <w:t xml:space="preserve"> and by substituting </w:t>
      </w:r>
      <w:r w:rsidRPr="00C53B80">
        <w:rPr>
          <w:i/>
        </w:rPr>
        <w:t>CBR</w:t>
      </w:r>
      <w:r w:rsidRPr="0032123C">
        <w:rPr>
          <w:vertAlign w:val="subscript"/>
        </w:rPr>
        <w:t>Limit</w:t>
      </w:r>
      <w:r w:rsidRPr="00C53B80">
        <w:t xml:space="preserve"> by </w:t>
      </w:r>
      <w:r w:rsidRPr="00C53B80">
        <w:rPr>
          <w:i/>
        </w:rPr>
        <w:t>CL</w:t>
      </w:r>
      <w:r w:rsidRPr="00C53B80">
        <w:t xml:space="preserve"> in equation </w:t>
      </w:r>
      <w:r w:rsidRPr="00445DD4">
        <w:fldChar w:fldCharType="begin"/>
      </w:r>
      <w:r w:rsidRPr="00C53B80">
        <w:instrText xml:space="preserve"> REF EQ_CBR \h </w:instrText>
      </w:r>
      <w:r w:rsidRPr="00445DD4">
        <w:fldChar w:fldCharType="separate"/>
      </w:r>
      <w:r>
        <w:rPr>
          <w:noProof/>
        </w:rPr>
        <w:t>2</w:t>
      </w:r>
      <w:r w:rsidRPr="00445DD4">
        <w:fldChar w:fldCharType="end"/>
      </w:r>
      <w:r w:rsidRPr="00C53B80">
        <w:t xml:space="preserve">. Since </w:t>
      </w:r>
      <w:r w:rsidRPr="00C53B80">
        <w:rPr>
          <w:i/>
        </w:rPr>
        <w:t>CL</w:t>
      </w:r>
      <w:r w:rsidRPr="00C53B80">
        <w:t xml:space="preserve"> can be smaller than </w:t>
      </w:r>
      <w:r w:rsidRPr="00C53B80">
        <w:rPr>
          <w:i/>
        </w:rPr>
        <w:t>b</w:t>
      </w:r>
      <w:r w:rsidRPr="00C53B80">
        <w:t xml:space="preserve">, the minimum number of estimated nodes </w:t>
      </w:r>
      <w:r w:rsidRPr="00C53B80">
        <w:rPr>
          <w:i/>
        </w:rPr>
        <w:t>N</w:t>
      </w:r>
      <w:r w:rsidRPr="00C53B80">
        <w:rPr>
          <w:i/>
          <w:vertAlign w:val="subscript"/>
        </w:rPr>
        <w:t>est</w:t>
      </w:r>
      <w:r w:rsidRPr="00C53B80">
        <w:t xml:space="preserve"> must be fixed to at least one in equation </w:t>
      </w:r>
      <w:r w:rsidRPr="00445DD4">
        <w:fldChar w:fldCharType="begin"/>
      </w:r>
      <w:r w:rsidRPr="00C53B80">
        <w:instrText xml:space="preserve"> REF EQ_N \h </w:instrText>
      </w:r>
      <w:r w:rsidRPr="00445DD4">
        <w:fldChar w:fldCharType="separate"/>
      </w:r>
      <w:r>
        <w:rPr>
          <w:noProof/>
        </w:rPr>
        <w:t>9</w:t>
      </w:r>
      <w:r w:rsidRPr="00445DD4">
        <w:fldChar w:fldCharType="end"/>
      </w:r>
      <w:r w:rsidRPr="00C53B80">
        <w:t>.</w:t>
      </w:r>
    </w:p>
    <w:p w14:paraId="1C25EB49" w14:textId="77777777" w:rsidR="009042C0" w:rsidRPr="00445DD4" w:rsidRDefault="009042C0" w:rsidP="009042C0">
      <w:pPr>
        <w:pStyle w:val="EQ"/>
      </w:pPr>
      <w:r w:rsidRPr="00445DD4">
        <w:tab/>
      </w:r>
      <m:oMath>
        <m:sSub>
          <m:sSubPr>
            <m:ctrlPr>
              <w:rPr>
                <w:rFonts w:ascii="Cambria Math" w:hAnsi="Cambria Math"/>
              </w:rPr>
            </m:ctrlPr>
          </m:sSubPr>
          <m:e>
            <m:r>
              <w:rPr>
                <w:rFonts w:ascii="Cambria Math" w:hAnsi="Cambria Math"/>
              </w:rPr>
              <m:t>N</m:t>
            </m:r>
          </m:e>
          <m:sub>
            <m:r>
              <w:rPr>
                <w:rFonts w:ascii="Cambria Math" w:hAnsi="Cambria Math"/>
              </w:rPr>
              <m:t>est</m:t>
            </m:r>
          </m:sub>
        </m:sSub>
        <m:r>
          <m:rPr>
            <m:sty m:val="p"/>
          </m:rPr>
          <w:rPr>
            <w:rFonts w:ascii="Cambria Math" w:hAnsi="Cambria Math"/>
          </w:rPr>
          <m:t>=</m:t>
        </m:r>
        <m:r>
          <w:rPr>
            <w:rFonts w:ascii="Cambria Math" w:hAnsi="Cambria Math"/>
          </w:rPr>
          <m:t>max</m:t>
        </m:r>
        <m:d>
          <m:dPr>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CL</m:t>
                </m:r>
                <m:r>
                  <m:rPr>
                    <m:sty m:val="p"/>
                  </m:rPr>
                  <w:rPr>
                    <w:rFonts w:ascii="Cambria Math" w:hAnsi="Cambria Math"/>
                  </w:rPr>
                  <m:t>-</m:t>
                </m:r>
                <m:r>
                  <w:rPr>
                    <w:rFonts w:ascii="Cambria Math" w:hAnsi="Cambria Math"/>
                  </w:rPr>
                  <m:t>b</m:t>
                </m:r>
              </m:num>
              <m:den>
                <m:r>
                  <w:rPr>
                    <w:rFonts w:ascii="Cambria Math" w:hAnsi="Cambria Math"/>
                  </w:rPr>
                  <m:t>a</m:t>
                </m:r>
              </m:den>
            </m:f>
          </m:e>
        </m:d>
      </m:oMath>
      <w:r w:rsidRPr="00445DD4">
        <w:tab/>
        <w:t>(</w:t>
      </w:r>
      <w:fldSimple w:instr=" SEQ Eq \* MERGEFORMAT ">
        <w:r>
          <w:t>9</w:t>
        </w:r>
      </w:fldSimple>
      <w:r w:rsidRPr="00445DD4">
        <w:t>)</w:t>
      </w:r>
    </w:p>
    <w:p w14:paraId="75C01ECA" w14:textId="77777777" w:rsidR="009042C0" w:rsidRPr="00C53B80" w:rsidRDefault="009042C0" w:rsidP="009042C0">
      <w:pPr>
        <w:pStyle w:val="BodyText"/>
      </w:pPr>
      <w:r w:rsidRPr="00C53B80">
        <w:t xml:space="preserve">From this a lower bound of </w:t>
      </w:r>
      <w:r w:rsidRPr="00C53B80">
        <w:rPr>
          <w:i/>
        </w:rPr>
        <w:t>U</w:t>
      </w:r>
      <w:r w:rsidRPr="00C53B80">
        <w:rPr>
          <w:i/>
          <w:vertAlign w:val="subscript"/>
        </w:rPr>
        <w:t>max</w:t>
      </w:r>
      <w:r w:rsidRPr="00C53B80">
        <w:t xml:space="preserve"> can be calculated by use of equation </w:t>
      </w:r>
      <w:r w:rsidRPr="00445DD4">
        <w:fldChar w:fldCharType="begin"/>
      </w:r>
      <w:r w:rsidRPr="00C53B80">
        <w:instrText xml:space="preserve"> REF EQ_umax \h </w:instrText>
      </w:r>
      <w:r w:rsidRPr="00445DD4">
        <w:fldChar w:fldCharType="separate"/>
      </w:r>
      <w:r>
        <w:rPr>
          <w:noProof/>
        </w:rPr>
        <w:t>7</w:t>
      </w:r>
      <w:r w:rsidRPr="00445DD4">
        <w:fldChar w:fldCharType="end"/>
      </w:r>
      <w:r w:rsidRPr="00C53B80">
        <w:t xml:space="preserve"> and equation </w:t>
      </w:r>
      <w:r w:rsidRPr="00445DD4">
        <w:fldChar w:fldCharType="begin"/>
      </w:r>
      <w:r w:rsidRPr="00C53B80">
        <w:instrText xml:space="preserve"> REF EQ_CBR \h </w:instrText>
      </w:r>
      <w:r w:rsidRPr="00445DD4">
        <w:fldChar w:fldCharType="separate"/>
      </w:r>
      <w:r>
        <w:rPr>
          <w:noProof/>
        </w:rPr>
        <w:t>2</w:t>
      </w:r>
      <w:r w:rsidRPr="00445DD4">
        <w:fldChar w:fldCharType="end"/>
      </w:r>
      <w:r w:rsidRPr="00C53B80">
        <w:t xml:space="preserve"> when substituting </w:t>
      </w:r>
      <w:r w:rsidRPr="00C53B80">
        <w:rPr>
          <w:i/>
        </w:rPr>
        <w:t>N</w:t>
      </w:r>
      <w:r w:rsidRPr="00C53B80">
        <w:t xml:space="preserve"> with </w:t>
      </w:r>
      <w:r w:rsidRPr="00C53B80">
        <w:rPr>
          <w:i/>
        </w:rPr>
        <w:t>N</w:t>
      </w:r>
      <w:r w:rsidRPr="00C53B80">
        <w:rPr>
          <w:i/>
          <w:vertAlign w:val="subscript"/>
        </w:rPr>
        <w:t>est</w:t>
      </w:r>
      <w:r w:rsidRPr="00C53B80">
        <w:t xml:space="preserve"> (see equation </w:t>
      </w:r>
      <w:r w:rsidRPr="00445DD4">
        <w:fldChar w:fldCharType="begin"/>
      </w:r>
      <w:r w:rsidRPr="00C53B80">
        <w:instrText xml:space="preserve"> REF EQ_umax_Nest \h </w:instrText>
      </w:r>
      <w:r w:rsidRPr="00445DD4">
        <w:fldChar w:fldCharType="separate"/>
      </w:r>
      <w:r>
        <w:rPr>
          <w:noProof/>
        </w:rPr>
        <w:t>10</w:t>
      </w:r>
      <w:r w:rsidRPr="00445DD4">
        <w:fldChar w:fldCharType="end"/>
      </w:r>
      <w:r w:rsidRPr="00C53B80">
        <w:t>).</w:t>
      </w:r>
    </w:p>
    <w:p w14:paraId="666A3254" w14:textId="77777777" w:rsidR="009042C0" w:rsidRPr="00445DD4" w:rsidRDefault="009042C0" w:rsidP="009042C0">
      <w:pPr>
        <w:pStyle w:val="EQ"/>
      </w:pPr>
      <w:r w:rsidRPr="00445DD4">
        <w:tab/>
      </w:r>
      <m:oMath>
        <m:sSub>
          <m:sSubPr>
            <m:ctrlPr>
              <w:rPr>
                <w:rFonts w:ascii="Cambria Math" w:hAnsi="Cambria Math"/>
              </w:rPr>
            </m:ctrlPr>
          </m:sSubPr>
          <m:e>
            <m:r>
              <w:rPr>
                <w:rFonts w:ascii="Cambria Math" w:hAnsi="Cambria Math"/>
              </w:rPr>
              <m:t>U</m:t>
            </m:r>
          </m:e>
          <m:sub>
            <m:r>
              <w:rPr>
                <w:rFonts w:ascii="Cambria Math" w:hAnsi="Cambria Math"/>
              </w: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est</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b</m:t>
            </m:r>
          </m:num>
          <m:den>
            <m:sSub>
              <m:sSubPr>
                <m:ctrlPr>
                  <w:rPr>
                    <w:rFonts w:ascii="Cambria Math" w:hAnsi="Cambria Math"/>
                  </w:rPr>
                </m:ctrlPr>
              </m:sSubPr>
              <m:e>
                <m:r>
                  <w:rPr>
                    <w:rFonts w:ascii="Cambria Math" w:hAnsi="Cambria Math"/>
                  </w:rPr>
                  <m:t>N</m:t>
                </m:r>
              </m:e>
              <m:sub>
                <m:r>
                  <w:rPr>
                    <w:rFonts w:ascii="Cambria Math" w:hAnsi="Cambria Math"/>
                  </w:rPr>
                  <m:t>est</m:t>
                </m:r>
              </m:sub>
            </m:sSub>
          </m:den>
        </m:f>
      </m:oMath>
      <w:r w:rsidRPr="00445DD4">
        <w:tab/>
        <w:t>(</w:t>
      </w:r>
      <w:fldSimple w:instr=" SEQ Eq \* MERGEFORMAT ">
        <w:r>
          <w:t>10</w:t>
        </w:r>
      </w:fldSimple>
      <w:r w:rsidRPr="00445DD4">
        <w:t>)</w:t>
      </w:r>
    </w:p>
    <w:p w14:paraId="13199F9A" w14:textId="77777777" w:rsidR="009042C0" w:rsidRPr="00C53B80" w:rsidRDefault="009042C0" w:rsidP="009042C0">
      <w:pPr>
        <w:pStyle w:val="BodyText"/>
        <w:keepNext w:val="0"/>
      </w:pPr>
      <w:r w:rsidRPr="00C53B80">
        <w:t xml:space="preserve">The distributed rate controllers are not synchronized and therefore the measurement period </w:t>
      </w:r>
      <w:r w:rsidRPr="00445DD4">
        <w:rPr>
          <w:i/>
        </w:rPr>
        <w:sym w:font="Symbol" w:char="F074"/>
      </w:r>
      <w:r w:rsidRPr="00C53B80">
        <w:t xml:space="preserve"> for the channel load determination should be long enough. Either 100 ms or a duration of </w:t>
      </w:r>
      <w:r w:rsidRPr="00C53B80">
        <w:rPr>
          <w:i/>
        </w:rPr>
        <w:t>T</w:t>
      </w:r>
      <w:r w:rsidRPr="00C53B80">
        <w:rPr>
          <w:i/>
          <w:vertAlign w:val="subscript"/>
        </w:rPr>
        <w:t>off</w:t>
      </w:r>
      <w:r w:rsidRPr="00C53B80">
        <w:t> +</w:t>
      </w:r>
      <w:r w:rsidRPr="00C53B80">
        <w:rPr>
          <w:i/>
        </w:rPr>
        <w:t>T</w:t>
      </w:r>
      <w:r w:rsidRPr="00C53B80">
        <w:rPr>
          <w:i/>
          <w:vertAlign w:val="subscript"/>
        </w:rPr>
        <w:t>on</w:t>
      </w:r>
      <w:r w:rsidRPr="00C53B80">
        <w:t xml:space="preserve"> are considered. Also</w:t>
      </w:r>
      <w:r>
        <w:t>,</w:t>
      </w:r>
      <w:r w:rsidRPr="00C53B80">
        <w:t xml:space="preserve"> a dissemination of the CL values between the nodes can be foreseen to increase the robustness of the measurement.</w:t>
      </w:r>
    </w:p>
    <w:p w14:paraId="590C9DAD" w14:textId="77777777" w:rsidR="009042C0" w:rsidRPr="00445DD4" w:rsidRDefault="009042C0" w:rsidP="009042C0">
      <w:pPr>
        <w:pStyle w:val="Heading2"/>
      </w:pPr>
      <w:bookmarkStart w:id="288" w:name="Cls_B_Structure"/>
      <w:bookmarkStart w:id="289" w:name="_Toc197337066"/>
      <w:r>
        <w:t>B.1.3</w:t>
      </w:r>
      <w:bookmarkEnd w:id="288"/>
      <w:r>
        <w:tab/>
      </w:r>
      <w:r w:rsidRPr="00445DD4">
        <w:t>Structure of a feedback controller</w:t>
      </w:r>
      <w:bookmarkEnd w:id="289"/>
    </w:p>
    <w:p w14:paraId="5409E1AB" w14:textId="1BE6D946" w:rsidR="009042C0" w:rsidRPr="00C53B80" w:rsidRDefault="00D22235" w:rsidP="009042C0">
      <w:pPr>
        <w:pStyle w:val="BodyText"/>
      </w:pPr>
      <w:r>
        <w:fldChar w:fldCharType="begin"/>
      </w:r>
      <w:r>
        <w:instrText xml:space="preserve"> REF _Ref197332297 \h </w:instrText>
      </w:r>
      <w:r>
        <w:fldChar w:fldCharType="separate"/>
      </w:r>
      <w:r w:rsidRPr="00445DD4">
        <w:t xml:space="preserve">Figure </w:t>
      </w:r>
      <w:r>
        <w:rPr>
          <w:noProof/>
        </w:rPr>
        <w:t>20</w:t>
      </w:r>
      <w:r>
        <w:fldChar w:fldCharType="end"/>
      </w:r>
      <w:r w:rsidR="009042C0" w:rsidRPr="00C53B80">
        <w:t xml:space="preserve"> shows a common basic structure how </w:t>
      </w:r>
      <w:r w:rsidR="009042C0">
        <w:t>a</w:t>
      </w:r>
      <w:r w:rsidR="009042C0" w:rsidRPr="00C53B80">
        <w:t xml:space="preserve"> </w:t>
      </w:r>
      <w:r w:rsidR="009042C0">
        <w:t xml:space="preserve">discrete time </w:t>
      </w:r>
      <w:r w:rsidR="009042C0" w:rsidRPr="00C53B80">
        <w:t xml:space="preserve">rate control in each node can be </w:t>
      </w:r>
      <w:r w:rsidR="009042C0">
        <w:t>implemented</w:t>
      </w:r>
      <w:r w:rsidR="009042C0" w:rsidRPr="00C53B80">
        <w:t xml:space="preserve">. The </w:t>
      </w:r>
      <w:r w:rsidR="009042C0">
        <w:t xml:space="preserve">channel load </w:t>
      </w:r>
      <w:r w:rsidR="009042C0" w:rsidRPr="00C53B80">
        <w:rPr>
          <w:i/>
        </w:rPr>
        <w:t>CL</w:t>
      </w:r>
      <w:r w:rsidR="009042C0">
        <w:t>(</w:t>
      </w:r>
      <w:r w:rsidR="009042C0" w:rsidRPr="0032123C">
        <w:rPr>
          <w:i/>
          <w:iCs/>
        </w:rPr>
        <w:t>t</w:t>
      </w:r>
      <w:r w:rsidR="009042C0">
        <w:t>-</w:t>
      </w:r>
      <w:r w:rsidR="009042C0" w:rsidRPr="00C63243">
        <w:rPr>
          <w:i/>
        </w:rPr>
        <w:sym w:font="Symbol" w:char="F074"/>
      </w:r>
      <w:r w:rsidR="009042C0">
        <w:t>)</w:t>
      </w:r>
      <w:r w:rsidR="009042C0" w:rsidRPr="00C53B80">
        <w:rPr>
          <w:i/>
        </w:rPr>
        <w:t xml:space="preserve"> </w:t>
      </w:r>
      <w:r w:rsidR="009042C0" w:rsidRPr="00C53B80">
        <w:t xml:space="preserve">measured </w:t>
      </w:r>
      <w:r w:rsidR="009042C0">
        <w:t xml:space="preserve">in the previous time step at </w:t>
      </w:r>
      <w:r w:rsidR="009042C0" w:rsidRPr="0032123C">
        <w:rPr>
          <w:i/>
          <w:iCs/>
        </w:rPr>
        <w:t>t</w:t>
      </w:r>
      <w:r w:rsidR="009042C0">
        <w:t>-</w:t>
      </w:r>
      <w:r w:rsidR="009042C0" w:rsidRPr="00C63243">
        <w:rPr>
          <w:i/>
        </w:rPr>
        <w:sym w:font="Symbol" w:char="F074"/>
      </w:r>
      <w:r w:rsidR="009042C0">
        <w:t xml:space="preserve"> and the previous dynamic upper bound of the channel utilization </w:t>
      </w:r>
      <w:r w:rsidR="009042C0">
        <w:rPr>
          <w:i/>
        </w:rPr>
        <w:t>u</w:t>
      </w:r>
      <w:r w:rsidR="009042C0" w:rsidRPr="00673D02">
        <w:rPr>
          <w:i/>
          <w:vertAlign w:val="subscript"/>
        </w:rPr>
        <w:t>max</w:t>
      </w:r>
      <w:r w:rsidR="009042C0">
        <w:t>(</w:t>
      </w:r>
      <w:r w:rsidR="009042C0" w:rsidRPr="0032123C">
        <w:rPr>
          <w:i/>
          <w:iCs/>
        </w:rPr>
        <w:t>t</w:t>
      </w:r>
      <w:r w:rsidR="009042C0">
        <w:t>-</w:t>
      </w:r>
      <w:r w:rsidR="009042C0" w:rsidRPr="00673D02">
        <w:rPr>
          <w:i/>
        </w:rPr>
        <w:sym w:font="Symbol" w:char="F074"/>
      </w:r>
      <w:r w:rsidR="009042C0">
        <w:t>)</w:t>
      </w:r>
      <w:r w:rsidR="009042C0" w:rsidRPr="00C53B80">
        <w:rPr>
          <w:i/>
        </w:rPr>
        <w:t xml:space="preserve"> </w:t>
      </w:r>
      <w:r w:rsidR="009042C0">
        <w:t>is</w:t>
      </w:r>
      <w:r w:rsidR="009042C0" w:rsidRPr="00C53B80">
        <w:t xml:space="preserve"> used by the control function c</w:t>
      </w:r>
      <w:r w:rsidR="009042C0" w:rsidRPr="00C53B80">
        <w:rPr>
          <w:vertAlign w:val="subscript"/>
        </w:rPr>
        <w:t>fn</w:t>
      </w:r>
      <w:r w:rsidR="009042C0" w:rsidRPr="00C53B80">
        <w:t xml:space="preserve"> and the filter function </w:t>
      </w:r>
      <w:r w:rsidR="009042C0" w:rsidRPr="00445DD4">
        <w:rPr>
          <w:i/>
        </w:rPr>
        <w:t>α</w:t>
      </w:r>
      <w:r w:rsidR="009042C0">
        <w:sym w:font="Symbol" w:char="F0B4"/>
      </w:r>
      <w:r w:rsidR="009042C0" w:rsidRPr="00C53B80">
        <w:t>f</w:t>
      </w:r>
      <w:r w:rsidR="009042C0" w:rsidRPr="00C53B80">
        <w:rPr>
          <w:vertAlign w:val="subscript"/>
        </w:rPr>
        <w:t>fn</w:t>
      </w:r>
      <w:r w:rsidR="009042C0" w:rsidRPr="00C53B80">
        <w:t xml:space="preserve"> to determine the </w:t>
      </w:r>
      <w:r w:rsidR="009042C0">
        <w:t xml:space="preserve">next dynamic </w:t>
      </w:r>
      <w:r w:rsidR="009042C0" w:rsidRPr="00C53B80">
        <w:t xml:space="preserve">channel utilization limit </w:t>
      </w:r>
      <w:r w:rsidR="009042C0">
        <w:rPr>
          <w:i/>
        </w:rPr>
        <w:t>u</w:t>
      </w:r>
      <w:r w:rsidR="009042C0" w:rsidRPr="00C53B80">
        <w:rPr>
          <w:i/>
          <w:vertAlign w:val="subscript"/>
        </w:rPr>
        <w:t>max</w:t>
      </w:r>
      <w:r w:rsidR="009042C0">
        <w:t>(</w:t>
      </w:r>
      <w:r w:rsidR="009042C0" w:rsidRPr="0032123C">
        <w:rPr>
          <w:i/>
          <w:iCs/>
        </w:rPr>
        <w:t>t</w:t>
      </w:r>
      <w:r w:rsidR="009042C0">
        <w:t>).</w:t>
      </w:r>
    </w:p>
    <w:p w14:paraId="1A234593" w14:textId="77777777" w:rsidR="009042C0" w:rsidRPr="00445DD4" w:rsidRDefault="009042C0" w:rsidP="009042C0">
      <w:pPr>
        <w:pStyle w:val="FL"/>
      </w:pPr>
      <w:r w:rsidRPr="00445DD4">
        <w:rPr>
          <w:noProof/>
          <w:lang w:val="it-IT" w:eastAsia="it-IT"/>
        </w:rPr>
        <w:drawing>
          <wp:inline distT="0" distB="0" distL="0" distR="0" wp14:anchorId="2F9601E1" wp14:editId="1CF03626">
            <wp:extent cx="3358800" cy="910800"/>
            <wp:effectExtent l="0" t="0" r="0" b="3810"/>
            <wp:docPr id="1417208997" name="Grafik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08997" name="Grafik 3" descr="A black background with a black squar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58800" cy="910800"/>
                    </a:xfrm>
                    <a:prstGeom prst="rect">
                      <a:avLst/>
                    </a:prstGeom>
                    <a:noFill/>
                  </pic:spPr>
                </pic:pic>
              </a:graphicData>
            </a:graphic>
          </wp:inline>
        </w:drawing>
      </w:r>
    </w:p>
    <w:p w14:paraId="5630D3D2" w14:textId="022A10A0" w:rsidR="009042C0" w:rsidRPr="00445DD4" w:rsidRDefault="009042C0" w:rsidP="009042C0">
      <w:pPr>
        <w:pStyle w:val="TF"/>
      </w:pPr>
      <w:bookmarkStart w:id="290" w:name="_Ref197332297"/>
      <w:r w:rsidRPr="00445DD4">
        <w:t xml:space="preserve">Figure </w:t>
      </w:r>
      <w:r w:rsidR="00115785">
        <w:fldChar w:fldCharType="begin"/>
      </w:r>
      <w:r w:rsidR="00115785">
        <w:instrText xml:space="preserve"> SEQ Figure \* ARABIC </w:instrText>
      </w:r>
      <w:r w:rsidR="00115785">
        <w:fldChar w:fldCharType="separate"/>
      </w:r>
      <w:r w:rsidR="00115785">
        <w:rPr>
          <w:noProof/>
        </w:rPr>
        <w:t>20</w:t>
      </w:r>
      <w:r w:rsidR="00115785">
        <w:rPr>
          <w:noProof/>
        </w:rPr>
        <w:fldChar w:fldCharType="end"/>
      </w:r>
      <w:bookmarkEnd w:id="290"/>
      <w:r w:rsidRPr="00445DD4">
        <w:tab/>
        <w:t>Block diagram of the rate control</w:t>
      </w:r>
    </w:p>
    <w:p w14:paraId="2A3AFAB4" w14:textId="77777777" w:rsidR="009042C0" w:rsidRDefault="009042C0" w:rsidP="009042C0">
      <w:pPr>
        <w:pStyle w:val="NO"/>
      </w:pPr>
      <w:r>
        <w:t>NOTE:</w:t>
      </w:r>
      <w:r>
        <w:tab/>
        <w:t>T</w:t>
      </w:r>
      <w:r w:rsidRPr="00C53B80">
        <w:t>he filter function f</w:t>
      </w:r>
      <w:r w:rsidRPr="00C53B80">
        <w:rPr>
          <w:vertAlign w:val="subscript"/>
        </w:rPr>
        <w:t>fn</w:t>
      </w:r>
      <w:r w:rsidRPr="00C53B80">
        <w:t xml:space="preserve"> </w:t>
      </w:r>
      <w:r>
        <w:t xml:space="preserve">might not be used, and even the </w:t>
      </w:r>
      <w:r w:rsidRPr="00C53B80">
        <w:t xml:space="preserve">factor </w:t>
      </w:r>
      <w:r w:rsidRPr="00445DD4">
        <w:rPr>
          <w:i/>
        </w:rPr>
        <w:t>α</w:t>
      </w:r>
      <w:r>
        <w:rPr>
          <w:i/>
        </w:rPr>
        <w:t xml:space="preserve"> </w:t>
      </w:r>
      <w:r>
        <w:t>is set to one in most implementations.</w:t>
      </w:r>
    </w:p>
    <w:p w14:paraId="33B095F2" w14:textId="189C9E66" w:rsidR="009042C0" w:rsidRPr="00C53B80" w:rsidRDefault="009042C0" w:rsidP="009042C0">
      <w:pPr>
        <w:pStyle w:val="BodyText"/>
      </w:pPr>
      <w:r>
        <w:t>Equation </w:t>
      </w:r>
      <w:r>
        <w:fldChar w:fldCharType="begin"/>
      </w:r>
      <w:r>
        <w:instrText xml:space="preserve"> REF EQ_umax_t \h </w:instrText>
      </w:r>
      <w:r>
        <w:fldChar w:fldCharType="separate"/>
      </w:r>
      <w:r>
        <w:rPr>
          <w:noProof/>
        </w:rPr>
        <w:t>11</w:t>
      </w:r>
      <w:r>
        <w:fldChar w:fldCharType="end"/>
      </w:r>
      <w:r>
        <w:t xml:space="preserve"> relates to the rate controller shown in </w:t>
      </w:r>
      <w:r w:rsidR="00D22235">
        <w:fldChar w:fldCharType="begin"/>
      </w:r>
      <w:r w:rsidR="00D22235">
        <w:instrText xml:space="preserve"> REF _Ref197332297 \h </w:instrText>
      </w:r>
      <w:r w:rsidR="00D22235">
        <w:fldChar w:fldCharType="separate"/>
      </w:r>
      <w:r w:rsidR="00D22235" w:rsidRPr="00445DD4">
        <w:t xml:space="preserve">Figure </w:t>
      </w:r>
      <w:r w:rsidR="00D22235">
        <w:rPr>
          <w:noProof/>
        </w:rPr>
        <w:t>20</w:t>
      </w:r>
      <w:r w:rsidR="00D22235">
        <w:fldChar w:fldCharType="end"/>
      </w:r>
      <w:r w:rsidR="00D22235">
        <w:t xml:space="preserve"> </w:t>
      </w:r>
      <w:r>
        <w:t xml:space="preserve">and results in </w:t>
      </w:r>
      <w:r w:rsidRPr="00C53B80">
        <w:t xml:space="preserve">the </w:t>
      </w:r>
      <w:r>
        <w:t xml:space="preserve">dynamic </w:t>
      </w:r>
      <w:r w:rsidRPr="00C53B80">
        <w:t xml:space="preserve">channel utilization limit </w:t>
      </w:r>
      <w:r>
        <w:rPr>
          <w:i/>
        </w:rPr>
        <w:t>u</w:t>
      </w:r>
      <w:r w:rsidRPr="00C53B80">
        <w:rPr>
          <w:i/>
          <w:vertAlign w:val="subscript"/>
        </w:rPr>
        <w:t>max</w:t>
      </w:r>
      <w:r>
        <w:t>(</w:t>
      </w:r>
      <w:r w:rsidRPr="0032123C">
        <w:rPr>
          <w:i/>
          <w:iCs/>
        </w:rPr>
        <w:t>t</w:t>
      </w:r>
      <w:r>
        <w:t>).</w:t>
      </w:r>
    </w:p>
    <w:p w14:paraId="1875347E" w14:textId="77777777" w:rsidR="009042C0" w:rsidRPr="00445DD4" w:rsidRDefault="009042C0" w:rsidP="009042C0">
      <w:pPr>
        <w:pStyle w:val="EQ"/>
      </w:pPr>
      <w:r>
        <w:rPr>
          <w:noProof w:val="0"/>
        </w:rPr>
        <w:tab/>
      </w:r>
      <m:oMath>
        <m:sSub>
          <m:sSubPr>
            <m:ctrlPr>
              <w:rPr>
                <w:rFonts w:ascii="Cambria Math" w:hAnsi="Cambria Math"/>
              </w:rPr>
            </m:ctrlPr>
          </m:sSubPr>
          <m:e>
            <m:r>
              <w:rPr>
                <w:rFonts w:ascii="Cambria Math" w:hAnsi="Cambria Math"/>
              </w:rPr>
              <m:t>u</m:t>
            </m:r>
          </m:e>
          <m:sub>
            <m:r>
              <w:rPr>
                <w:rFonts w:ascii="Cambria Math" w:hAnsi="Cambria Math"/>
              </w:rPr>
              <m:t>max</m:t>
            </m:r>
          </m:sub>
        </m:sSub>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m:rPr>
                <m:nor/>
              </m:rPr>
              <m:t>f</m:t>
            </m:r>
          </m:e>
          <m:sub>
            <m:r>
              <m:rPr>
                <m:nor/>
              </m:rPr>
              <m:t>fn</m:t>
            </m:r>
          </m:sub>
        </m:sSub>
        <m:d>
          <m:dPr>
            <m:ctrlPr>
              <w:rPr>
                <w:rFonts w:ascii="Cambria Math" w:hAnsi="Cambria Math"/>
              </w:rPr>
            </m:ctrlPr>
          </m:dPr>
          <m:e>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e>
        </m:d>
        <m:r>
          <m:rPr>
            <m:sty m:val="p"/>
          </m:rPr>
          <w:rPr>
            <w:rFonts w:ascii="Cambria Math" w:hAnsi="Cambria Math"/>
          </w:rPr>
          <m:t>×</m:t>
        </m:r>
        <m:sSub>
          <m:sSubPr>
            <m:ctrlPr>
              <w:rPr>
                <w:rFonts w:ascii="Cambria Math" w:hAnsi="Cambria Math"/>
              </w:rPr>
            </m:ctrlPr>
          </m:sSubPr>
          <m:e>
            <m:r>
              <m:rPr>
                <m:nor/>
              </m:rPr>
              <m:t>c</m:t>
            </m:r>
          </m:e>
          <m:sub>
            <m:r>
              <m:rPr>
                <m:nor/>
              </m:rPr>
              <m:t>fn</m:t>
            </m:r>
          </m:sub>
        </m:sSub>
        <m:d>
          <m:dPr>
            <m:ctrlPr>
              <w:rPr>
                <w:rFonts w:ascii="Cambria Math" w:hAnsi="Cambria Math"/>
              </w:rPr>
            </m:ctrlPr>
          </m:dPr>
          <m:e>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α</m:t>
            </m:r>
            <m:r>
              <m:rPr>
                <m:sty m:val="p"/>
              </m:rPr>
              <w:rPr>
                <w:rFonts w:ascii="Cambria Math" w:hAnsi="Cambria Math"/>
              </w:rPr>
              <m:t>×</m:t>
            </m:r>
            <m:sSub>
              <m:sSubPr>
                <m:ctrlPr>
                  <w:rPr>
                    <w:rFonts w:ascii="Cambria Math" w:hAnsi="Cambria Math"/>
                  </w:rPr>
                </m:ctrlPr>
              </m:sSubPr>
              <m:e>
                <m:r>
                  <m:rPr>
                    <m:nor/>
                  </m:rPr>
                  <m:t>f</m:t>
                </m:r>
              </m:e>
              <m:sub>
                <m:r>
                  <m:rPr>
                    <m:nor/>
                  </m:rPr>
                  <m:t>fn</m:t>
                </m:r>
              </m:sub>
            </m:sSub>
            <m:d>
              <m:dPr>
                <m:ctrlPr>
                  <w:rPr>
                    <w:rFonts w:ascii="Cambria Math" w:hAnsi="Cambria Math"/>
                  </w:rPr>
                </m:ctrlPr>
              </m:dPr>
              <m:e>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e>
            </m:d>
          </m:e>
        </m:d>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max</m:t>
            </m:r>
          </m:sub>
        </m:sSub>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oMath>
      <w:r w:rsidRPr="00445DD4">
        <w:tab/>
        <w:t>(</w:t>
      </w:r>
      <w:bookmarkStart w:id="291" w:name="EQ_umax_t"/>
      <w:r w:rsidRPr="00445DD4">
        <w:fldChar w:fldCharType="begin"/>
      </w:r>
      <w:r w:rsidRPr="00445DD4">
        <w:instrText xml:space="preserve"> SEQ Eq \* MERGEFORMAT </w:instrText>
      </w:r>
      <w:r w:rsidRPr="00445DD4">
        <w:fldChar w:fldCharType="separate"/>
      </w:r>
      <w:r>
        <w:t>11</w:t>
      </w:r>
      <w:r w:rsidRPr="00445DD4">
        <w:fldChar w:fldCharType="end"/>
      </w:r>
      <w:bookmarkEnd w:id="291"/>
      <w:r w:rsidRPr="00445DD4">
        <w:t>)</w:t>
      </w:r>
    </w:p>
    <w:p w14:paraId="636B7580" w14:textId="77777777" w:rsidR="009042C0" w:rsidRPr="000945CC" w:rsidRDefault="009042C0" w:rsidP="009042C0">
      <w:pPr>
        <w:pStyle w:val="BodyText"/>
        <w:keepNext w:val="0"/>
      </w:pPr>
      <w:r>
        <w:t xml:space="preserve">When no filtering to the input signal </w:t>
      </w:r>
      <w:r w:rsidRPr="00C53B80">
        <w:rPr>
          <w:i/>
        </w:rPr>
        <w:t>CL</w:t>
      </w:r>
      <w:r>
        <w:t>(</w:t>
      </w:r>
      <w:r w:rsidRPr="0032123C">
        <w:rPr>
          <w:i/>
          <w:iCs/>
        </w:rPr>
        <w:t>t</w:t>
      </w:r>
      <w:r>
        <w:t>-</w:t>
      </w:r>
      <w:r w:rsidRPr="0032123C">
        <w:rPr>
          <w:i/>
        </w:rPr>
        <w:sym w:font="Symbol" w:char="F074"/>
      </w:r>
      <w:r>
        <w:t>)</w:t>
      </w:r>
      <w:r w:rsidRPr="00C53B80">
        <w:rPr>
          <w:i/>
        </w:rPr>
        <w:t xml:space="preserve"> </w:t>
      </w:r>
      <w:r>
        <w:t xml:space="preserve">is used in the controller, </w:t>
      </w:r>
      <w:r w:rsidRPr="00C53B80">
        <w:t xml:space="preserve">the filter function </w:t>
      </w:r>
      <w:r>
        <w:t>is constant and equal to one (</w:t>
      </w:r>
      <w:r w:rsidRPr="00445DD4">
        <w:rPr>
          <w:i/>
        </w:rPr>
        <w:t>α</w:t>
      </w:r>
      <w:r>
        <w:sym w:font="Symbol" w:char="F0B4"/>
      </w:r>
      <w:r w:rsidRPr="00C53B80">
        <w:t>f</w:t>
      </w:r>
      <w:r w:rsidRPr="00C53B80">
        <w:rPr>
          <w:vertAlign w:val="subscript"/>
        </w:rPr>
        <w:t>fn</w:t>
      </w:r>
      <w:r>
        <w:t xml:space="preserve"> = 1). In this case the dynamic </w:t>
      </w:r>
      <w:r w:rsidRPr="00C53B80">
        <w:t xml:space="preserve">channel utilization </w:t>
      </w:r>
      <w:r>
        <w:rPr>
          <w:i/>
        </w:rPr>
        <w:t>u</w:t>
      </w:r>
      <w:r w:rsidRPr="00C53B80">
        <w:rPr>
          <w:i/>
          <w:vertAlign w:val="subscript"/>
        </w:rPr>
        <w:t>max</w:t>
      </w:r>
      <w:r>
        <w:t>(</w:t>
      </w:r>
      <w:r w:rsidRPr="0032123C">
        <w:rPr>
          <w:i/>
          <w:iCs/>
        </w:rPr>
        <w:t>t</w:t>
      </w:r>
      <w:r>
        <w:t xml:space="preserve">) is just given by the control function </w:t>
      </w:r>
      <w:r w:rsidRPr="00C53B80">
        <w:t>c</w:t>
      </w:r>
      <w:r w:rsidRPr="00C53B80">
        <w:rPr>
          <w:vertAlign w:val="subscript"/>
        </w:rPr>
        <w:t>fn</w:t>
      </w:r>
      <w:r>
        <w:t>(</w:t>
      </w:r>
      <w:r w:rsidRPr="00C53B80">
        <w:rPr>
          <w:i/>
        </w:rPr>
        <w:t>CL</w:t>
      </w:r>
      <w:r>
        <w:t>(</w:t>
      </w:r>
      <w:r w:rsidRPr="0032123C">
        <w:rPr>
          <w:i/>
          <w:iCs/>
        </w:rPr>
        <w:t>t</w:t>
      </w:r>
      <w:r>
        <w:t>-</w:t>
      </w:r>
      <w:r w:rsidRPr="0032123C">
        <w:rPr>
          <w:i/>
        </w:rPr>
        <w:sym w:font="Symbol" w:char="F074"/>
      </w:r>
      <w:r>
        <w:t>)) =</w:t>
      </w:r>
      <w:r>
        <w:rPr>
          <w:i/>
        </w:rPr>
        <w:t> u</w:t>
      </w:r>
      <w:r w:rsidRPr="00C53B80">
        <w:rPr>
          <w:i/>
          <w:vertAlign w:val="subscript"/>
        </w:rPr>
        <w:t>max</w:t>
      </w:r>
      <w:r>
        <w:t>(</w:t>
      </w:r>
      <w:r w:rsidRPr="0032123C">
        <w:rPr>
          <w:i/>
          <w:iCs/>
        </w:rPr>
        <w:t>t</w:t>
      </w:r>
      <w:r>
        <w:t>). This type of controller implementation is the simplest one, but it is prone to instabilities, since the stability and the control equilibrium are both given by the control function. Using a filtering function that differs from one (</w:t>
      </w:r>
      <w:r w:rsidRPr="00445DD4">
        <w:rPr>
          <w:i/>
        </w:rPr>
        <w:t>α</w:t>
      </w:r>
      <w:r>
        <w:sym w:font="Symbol" w:char="F0B4"/>
      </w:r>
      <w:r w:rsidRPr="00C53B80">
        <w:t>f</w:t>
      </w:r>
      <w:r w:rsidRPr="00C53B80">
        <w:rPr>
          <w:vertAlign w:val="subscript"/>
        </w:rPr>
        <w:t>fn</w:t>
      </w:r>
      <w:r>
        <w:t> ≠ 1), offers the possibility to decouple the control equilibrium from the controller stability as will be shown in clause </w:t>
      </w:r>
      <w:r>
        <w:fldChar w:fldCharType="begin"/>
      </w:r>
      <w:r>
        <w:instrText xml:space="preserve"> REF Cls_Control_eqilibrium \h </w:instrText>
      </w:r>
      <w:r>
        <w:fldChar w:fldCharType="separate"/>
      </w:r>
      <w:r>
        <w:t>B.2</w:t>
      </w:r>
      <w:r>
        <w:fldChar w:fldCharType="end"/>
      </w:r>
      <w:r>
        <w:t>.</w:t>
      </w:r>
    </w:p>
    <w:p w14:paraId="2C87A464" w14:textId="77777777" w:rsidR="009042C0" w:rsidRDefault="009042C0" w:rsidP="009042C0">
      <w:pPr>
        <w:pStyle w:val="Heading2"/>
      </w:pPr>
      <w:bookmarkStart w:id="292" w:name="Cls_Control_eqilibrium"/>
      <w:bookmarkStart w:id="293" w:name="_Toc197337067"/>
      <w:r>
        <w:t>B.2</w:t>
      </w:r>
      <w:bookmarkEnd w:id="292"/>
      <w:r>
        <w:tab/>
        <w:t>Control equilibrium</w:t>
      </w:r>
      <w:bookmarkEnd w:id="293"/>
    </w:p>
    <w:p w14:paraId="6ABA5197" w14:textId="77777777" w:rsidR="009042C0" w:rsidRDefault="009042C0" w:rsidP="009042C0">
      <w:r>
        <w:t xml:space="preserve">The control equilibrium for a control function </w:t>
      </w:r>
      <w:r w:rsidRPr="00C53B80">
        <w:t>f</w:t>
      </w:r>
      <w:r w:rsidRPr="00C53B80">
        <w:rPr>
          <w:vertAlign w:val="subscript"/>
        </w:rPr>
        <w:t>fn</w:t>
      </w:r>
      <w:r>
        <w:t xml:space="preserve"> is the steady state channel load </w:t>
      </w:r>
      <w:r w:rsidRPr="00C53B80">
        <w:rPr>
          <w:i/>
        </w:rPr>
        <w:t>CL</w:t>
      </w:r>
      <w:r>
        <w:t>(</w:t>
      </w:r>
      <w:r w:rsidRPr="0032123C">
        <w:rPr>
          <w:i/>
          <w:iCs/>
        </w:rPr>
        <w:t>t</w:t>
      </w:r>
      <w:r>
        <w:t>-</w:t>
      </w:r>
      <w:r w:rsidRPr="0032123C">
        <w:rPr>
          <w:i/>
        </w:rPr>
        <w:sym w:font="Symbol" w:char="F074"/>
      </w:r>
      <w:r>
        <w:t>) = </w:t>
      </w:r>
      <w:r w:rsidRPr="00C53B80">
        <w:rPr>
          <w:i/>
        </w:rPr>
        <w:t>CL</w:t>
      </w:r>
      <w:r>
        <w:t>(</w:t>
      </w:r>
      <w:r w:rsidRPr="0032123C">
        <w:rPr>
          <w:i/>
          <w:iCs/>
        </w:rPr>
        <w:t>t</w:t>
      </w:r>
      <w:r>
        <w:t>) = </w:t>
      </w:r>
      <w:r w:rsidRPr="00673D02">
        <w:rPr>
          <w:i/>
        </w:rPr>
        <w:t>C</w:t>
      </w:r>
      <w:r>
        <w:rPr>
          <w:i/>
        </w:rPr>
        <w:t>L</w:t>
      </w:r>
      <w:r>
        <w:t xml:space="preserve"> produced by a given number of nodes </w:t>
      </w:r>
      <w:r w:rsidRPr="0054071D">
        <w:rPr>
          <w:i/>
        </w:rPr>
        <w:t>N</w:t>
      </w:r>
      <w:r>
        <w:t xml:space="preserve"> that are all utilizing the channel with the same constant </w:t>
      </w:r>
      <w:r>
        <w:rPr>
          <w:i/>
        </w:rPr>
        <w:t>u</w:t>
      </w:r>
      <w:r w:rsidRPr="00C53B80">
        <w:rPr>
          <w:i/>
          <w:vertAlign w:val="subscript"/>
        </w:rPr>
        <w:t>max</w:t>
      </w:r>
      <w:r>
        <w:rPr>
          <w:i/>
        </w:rPr>
        <w:t>=u</w:t>
      </w:r>
      <w:r>
        <w:rPr>
          <w:i/>
          <w:vertAlign w:val="subscript"/>
        </w:rPr>
        <w:t>1</w:t>
      </w:r>
      <w:r>
        <w:rPr>
          <w:i/>
        </w:rPr>
        <w:t>=u</w:t>
      </w:r>
      <w:r>
        <w:rPr>
          <w:i/>
          <w:vertAlign w:val="subscript"/>
        </w:rPr>
        <w:t>2</w:t>
      </w:r>
      <w:r>
        <w:rPr>
          <w:i/>
        </w:rPr>
        <w:t>=…=u</w:t>
      </w:r>
      <w:r>
        <w:rPr>
          <w:i/>
          <w:vertAlign w:val="subscript"/>
        </w:rPr>
        <w:t>N</w:t>
      </w:r>
      <w:r>
        <w:t>=</w:t>
      </w:r>
      <w:r w:rsidRPr="00673D02">
        <w:rPr>
          <w:i/>
        </w:rPr>
        <w:t>U</w:t>
      </w:r>
      <w:r w:rsidRPr="00673D02">
        <w:rPr>
          <w:i/>
          <w:vertAlign w:val="subscript"/>
        </w:rPr>
        <w:t>max</w:t>
      </w:r>
      <w:r>
        <w:t>. For the steady state equilibrium equation </w:t>
      </w:r>
      <w:r>
        <w:fldChar w:fldCharType="begin"/>
      </w:r>
      <w:r>
        <w:instrText xml:space="preserve"> REF EQ_umax_t \h </w:instrText>
      </w:r>
      <w:r>
        <w:fldChar w:fldCharType="separate"/>
      </w:r>
      <w:r>
        <w:rPr>
          <w:noProof/>
        </w:rPr>
        <w:t>11</w:t>
      </w:r>
      <w:r>
        <w:fldChar w:fldCharType="end"/>
      </w:r>
      <w:r>
        <w:t xml:space="preserve"> simplifies to equation </w:t>
      </w:r>
      <w:r>
        <w:fldChar w:fldCharType="begin"/>
      </w:r>
      <w:r>
        <w:instrText xml:space="preserve"> REF EQ_Umax1 \h </w:instrText>
      </w:r>
      <w:r>
        <w:fldChar w:fldCharType="separate"/>
      </w:r>
      <w:r>
        <w:rPr>
          <w:noProof/>
        </w:rPr>
        <w:t>12</w:t>
      </w:r>
      <w:r>
        <w:fldChar w:fldCharType="end"/>
      </w:r>
      <w:r>
        <w:t>:</w:t>
      </w:r>
    </w:p>
    <w:p w14:paraId="08D8EFB7" w14:textId="77777777" w:rsidR="009042C0" w:rsidRPr="00445DD4" w:rsidRDefault="009042C0" w:rsidP="009042C0">
      <w:pPr>
        <w:pStyle w:val="EQ"/>
      </w:pPr>
      <w:r>
        <w:tab/>
      </w:r>
      <m:oMath>
        <m:sSub>
          <m:sSubPr>
            <m:ctrlPr>
              <w:rPr>
                <w:rFonts w:ascii="Cambria Math" w:hAnsi="Cambria Math"/>
              </w:rPr>
            </m:ctrlPr>
          </m:sSubPr>
          <m:e>
            <m:r>
              <w:rPr>
                <w:rFonts w:ascii="Cambria Math" w:hAnsi="Cambria Math"/>
              </w:rPr>
              <m:t>U</m:t>
            </m:r>
          </m:e>
          <m:sub>
            <m:r>
              <w:rPr>
                <w:rFonts w:ascii="Cambria Math" w:hAnsi="Cambria Math"/>
              </w:rPr>
              <m:t>max</m:t>
            </m:r>
          </m:sub>
        </m:sSub>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r>
              <m:rPr>
                <m:nor/>
              </m:rPr>
              <m:t>f</m:t>
            </m:r>
          </m:e>
          <m:sub>
            <m:r>
              <m:rPr>
                <m:nor/>
              </m:rPr>
              <m:t>fn</m:t>
            </m:r>
          </m:sub>
        </m:sSub>
        <m:d>
          <m:dPr>
            <m:ctrlPr>
              <w:rPr>
                <w:rFonts w:ascii="Cambria Math" w:hAnsi="Cambria Math"/>
              </w:rPr>
            </m:ctrlPr>
          </m:dPr>
          <m:e>
            <m:r>
              <w:rPr>
                <w:rFonts w:ascii="Cambria Math" w:hAnsi="Cambria Math"/>
              </w:rPr>
              <m:t>CL</m:t>
            </m:r>
          </m:e>
        </m:d>
        <m:r>
          <m:rPr>
            <m:sty m:val="p"/>
          </m:rPr>
          <w:rPr>
            <w:rFonts w:ascii="Cambria Math" w:hAnsi="Cambria Math"/>
          </w:rPr>
          <m:t>×</m:t>
        </m:r>
        <m:sSub>
          <m:sSubPr>
            <m:ctrlPr>
              <w:rPr>
                <w:rFonts w:ascii="Cambria Math" w:hAnsi="Cambria Math"/>
              </w:rPr>
            </m:ctrlPr>
          </m:sSubPr>
          <m:e>
            <m:r>
              <m:rPr>
                <m:nor/>
              </m:rPr>
              <m:t>c</m:t>
            </m:r>
          </m:e>
          <m:sub>
            <m:r>
              <m:rPr>
                <m:nor/>
              </m:rPr>
              <m:t>fn</m:t>
            </m:r>
          </m:sub>
        </m:sSub>
        <m:d>
          <m:dPr>
            <m:ctrlPr>
              <w:rPr>
                <w:rFonts w:ascii="Cambria Math" w:hAnsi="Cambria Math"/>
              </w:rPr>
            </m:ctrlPr>
          </m:dPr>
          <m:e>
            <m:r>
              <w:rPr>
                <w:rFonts w:ascii="Cambria Math" w:hAnsi="Cambria Math"/>
              </w:rPr>
              <m:t>CL</m:t>
            </m:r>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α</m:t>
            </m:r>
            <m:r>
              <m:rPr>
                <m:sty m:val="p"/>
              </m:rPr>
              <w:rPr>
                <w:rFonts w:ascii="Cambria Math" w:hAnsi="Cambria Math"/>
              </w:rPr>
              <m:t>×</m:t>
            </m:r>
            <m:sSub>
              <m:sSubPr>
                <m:ctrlPr>
                  <w:rPr>
                    <w:rFonts w:ascii="Cambria Math" w:hAnsi="Cambria Math"/>
                  </w:rPr>
                </m:ctrlPr>
              </m:sSubPr>
              <m:e>
                <m:r>
                  <m:rPr>
                    <m:nor/>
                  </m:rPr>
                  <m:t>f</m:t>
                </m:r>
              </m:e>
              <m:sub>
                <m:r>
                  <m:rPr>
                    <m:nor/>
                  </m:rPr>
                  <m:t>fn</m:t>
                </m:r>
              </m:sub>
            </m:sSub>
            <m:d>
              <m:dPr>
                <m:ctrlPr>
                  <w:rPr>
                    <w:rFonts w:ascii="Cambria Math" w:hAnsi="Cambria Math"/>
                  </w:rPr>
                </m:ctrlPr>
              </m:dPr>
              <m:e>
                <m:r>
                  <w:rPr>
                    <w:rFonts w:ascii="Cambria Math" w:hAnsi="Cambria Math"/>
                  </w:rPr>
                  <m:t>CL</m:t>
                </m:r>
              </m:e>
            </m:d>
          </m:e>
        </m:d>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max</m:t>
            </m:r>
          </m:sub>
        </m:sSub>
      </m:oMath>
      <w:r w:rsidRPr="00445DD4">
        <w:tab/>
        <w:t>(</w:t>
      </w:r>
      <w:bookmarkStart w:id="294" w:name="EQ_Umax1"/>
      <w:r w:rsidRPr="00445DD4">
        <w:fldChar w:fldCharType="begin"/>
      </w:r>
      <w:r w:rsidRPr="00445DD4">
        <w:instrText xml:space="preserve"> SEQ Eq \* MERGEFORMAT </w:instrText>
      </w:r>
      <w:r w:rsidRPr="00445DD4">
        <w:fldChar w:fldCharType="separate"/>
      </w:r>
      <w:r>
        <w:t>12</w:t>
      </w:r>
      <w:r w:rsidRPr="00445DD4">
        <w:fldChar w:fldCharType="end"/>
      </w:r>
      <w:bookmarkEnd w:id="294"/>
      <w:r w:rsidRPr="00445DD4">
        <w:t>)</w:t>
      </w:r>
    </w:p>
    <w:p w14:paraId="0570FB80" w14:textId="77777777" w:rsidR="009042C0" w:rsidRDefault="009042C0" w:rsidP="009042C0">
      <w:r>
        <w:t>From equation </w:t>
      </w:r>
      <w:r>
        <w:fldChar w:fldCharType="begin"/>
      </w:r>
      <w:r>
        <w:instrText xml:space="preserve"> REF EQ_Umax1 \h </w:instrText>
      </w:r>
      <w:r>
        <w:fldChar w:fldCharType="separate"/>
      </w:r>
      <w:r>
        <w:rPr>
          <w:noProof/>
        </w:rPr>
        <w:t>12</w:t>
      </w:r>
      <w:r>
        <w:fldChar w:fldCharType="end"/>
      </w:r>
      <w:r>
        <w:t xml:space="preserve"> the channel utilisation limit </w:t>
      </w:r>
      <w:r w:rsidRPr="0032123C">
        <w:rPr>
          <w:i/>
        </w:rPr>
        <w:t>U</w:t>
      </w:r>
      <w:r w:rsidRPr="0032123C">
        <w:rPr>
          <w:i/>
          <w:vertAlign w:val="subscript"/>
        </w:rPr>
        <w:t>max</w:t>
      </w:r>
      <w:r>
        <w:t xml:space="preserve"> as function of the channel load </w:t>
      </w:r>
      <w:r w:rsidRPr="00673D02">
        <w:rPr>
          <w:i/>
        </w:rPr>
        <w:t>CL</w:t>
      </w:r>
      <w:r>
        <w:t xml:space="preserve"> can be determined:</w:t>
      </w:r>
    </w:p>
    <w:p w14:paraId="5A6D23EE" w14:textId="77777777" w:rsidR="009042C0" w:rsidRPr="00445DD4" w:rsidRDefault="009042C0" w:rsidP="009042C0">
      <w:pPr>
        <w:pStyle w:val="EQ"/>
      </w:pPr>
      <w:r>
        <w:tab/>
      </w:r>
      <m:oMath>
        <m:sSub>
          <m:sSubPr>
            <m:ctrlPr>
              <w:rPr>
                <w:rFonts w:ascii="Cambria Math" w:hAnsi="Cambria Math"/>
                <w:i/>
              </w:rPr>
            </m:ctrlPr>
          </m:sSubPr>
          <m:e>
            <m:r>
              <w:rPr>
                <w:rFonts w:ascii="Cambria Math" w:hAnsi="Cambria Math"/>
              </w:rPr>
              <m:t>U</m:t>
            </m:r>
          </m:e>
          <m:sub>
            <m:r>
              <w:rPr>
                <w:rFonts w:ascii="Cambria Math" w:hAnsi="Cambria Math"/>
              </w:rPr>
              <m:t>max</m:t>
            </m:r>
          </m:sub>
        </m:sSub>
        <m:r>
          <w:rPr>
            <w:rFonts w:ascii="Cambria Math" w:hAnsi="Cambria Math"/>
          </w:rPr>
          <m:t>=</m:t>
        </m:r>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oMath>
      <w:r w:rsidRPr="00445DD4">
        <w:tab/>
        <w:t>(</w:t>
      </w:r>
      <w:bookmarkStart w:id="295" w:name="EQ_Umax_equilibrium"/>
      <w:r w:rsidRPr="00445DD4">
        <w:fldChar w:fldCharType="begin"/>
      </w:r>
      <w:r w:rsidRPr="00445DD4">
        <w:instrText xml:space="preserve"> SEQ Eq \* MERGEFORMAT </w:instrText>
      </w:r>
      <w:r w:rsidRPr="00445DD4">
        <w:fldChar w:fldCharType="separate"/>
      </w:r>
      <w:r>
        <w:t>13</w:t>
      </w:r>
      <w:r w:rsidRPr="00445DD4">
        <w:fldChar w:fldCharType="end"/>
      </w:r>
      <w:bookmarkEnd w:id="295"/>
      <w:r w:rsidRPr="00445DD4">
        <w:t>)</w:t>
      </w:r>
    </w:p>
    <w:p w14:paraId="280857C6" w14:textId="754E3F2A" w:rsidR="009042C0" w:rsidRPr="006D5A61" w:rsidRDefault="009042C0" w:rsidP="009042C0">
      <w:r>
        <w:t>Equation </w:t>
      </w:r>
      <w:r>
        <w:fldChar w:fldCharType="begin"/>
      </w:r>
      <w:r>
        <w:instrText xml:space="preserve"> REF EQ_Umax_equilibrium \h </w:instrText>
      </w:r>
      <w:r>
        <w:fldChar w:fldCharType="separate"/>
      </w:r>
      <w:r>
        <w:rPr>
          <w:noProof/>
        </w:rPr>
        <w:t>13</w:t>
      </w:r>
      <w:r>
        <w:fldChar w:fldCharType="end"/>
      </w:r>
      <w:r>
        <w:t xml:space="preserve"> shows that the filter function</w:t>
      </w:r>
      <w:r w:rsidRPr="00C6510F">
        <w:rPr>
          <w:i/>
        </w:rPr>
        <w:t xml:space="preserve"> </w:t>
      </w:r>
      <w:r w:rsidRPr="00445DD4">
        <w:rPr>
          <w:i/>
        </w:rPr>
        <w:t>α</w:t>
      </w:r>
      <w:r>
        <w:sym w:font="Symbol" w:char="F0B4"/>
      </w:r>
      <w:r w:rsidRPr="00C53B80">
        <w:t>f</w:t>
      </w:r>
      <w:r w:rsidRPr="00C53B80">
        <w:rPr>
          <w:vertAlign w:val="subscript"/>
        </w:rPr>
        <w:t>fn</w:t>
      </w:r>
      <w:r>
        <w:t xml:space="preserve"> has no influence on the control equilibrium </w:t>
      </w:r>
      <w:r w:rsidRPr="00673D02">
        <w:rPr>
          <w:i/>
        </w:rPr>
        <w:t>CL</w:t>
      </w:r>
      <w:r>
        <w:t xml:space="preserve"> and on the steady state channel utilisation </w:t>
      </w:r>
      <w:r w:rsidRPr="0032123C">
        <w:rPr>
          <w:i/>
        </w:rPr>
        <w:t>U</w:t>
      </w:r>
      <w:r w:rsidRPr="0032123C">
        <w:rPr>
          <w:i/>
          <w:vertAlign w:val="subscript"/>
        </w:rPr>
        <w:t>max</w:t>
      </w:r>
      <w:r>
        <w:t>. Only the control function c</w:t>
      </w:r>
      <w:r w:rsidRPr="00C53B80">
        <w:rPr>
          <w:vertAlign w:val="subscript"/>
        </w:rPr>
        <w:t>fn</w:t>
      </w:r>
      <w:r>
        <w:t xml:space="preserve"> determines the steady state characteristics of the controller shown in</w:t>
      </w:r>
      <w:r w:rsidR="00D22235">
        <w:t xml:space="preserve"> </w:t>
      </w:r>
      <w:r w:rsidR="00D22235">
        <w:fldChar w:fldCharType="begin"/>
      </w:r>
      <w:r w:rsidR="00D22235">
        <w:instrText xml:space="preserve"> REF _Ref197332297 \h </w:instrText>
      </w:r>
      <w:r w:rsidR="00D22235">
        <w:fldChar w:fldCharType="separate"/>
      </w:r>
      <w:r w:rsidR="00D22235" w:rsidRPr="00445DD4">
        <w:t xml:space="preserve">Figure </w:t>
      </w:r>
      <w:r w:rsidR="00D22235">
        <w:rPr>
          <w:noProof/>
        </w:rPr>
        <w:t>20</w:t>
      </w:r>
      <w:r w:rsidR="00D22235">
        <w:fldChar w:fldCharType="end"/>
      </w:r>
      <w:r>
        <w:t>.</w:t>
      </w:r>
    </w:p>
    <w:p w14:paraId="631C1980" w14:textId="77777777" w:rsidR="009042C0" w:rsidRDefault="009042C0" w:rsidP="009042C0">
      <w:r>
        <w:t>Clause </w:t>
      </w:r>
      <w:r>
        <w:fldChar w:fldCharType="begin"/>
      </w:r>
      <w:r>
        <w:instrText xml:space="preserve"> REF Cls_B_Stability \h </w:instrText>
      </w:r>
      <w:r>
        <w:fldChar w:fldCharType="separate"/>
      </w:r>
      <w:r>
        <w:t>B.3</w:t>
      </w:r>
      <w:r>
        <w:fldChar w:fldCharType="end"/>
      </w:r>
      <w:r>
        <w:t xml:space="preserve"> and clause </w:t>
      </w:r>
      <w:r>
        <w:fldChar w:fldCharType="begin"/>
      </w:r>
      <w:r>
        <w:instrText xml:space="preserve"> REF Cls_B_Control_dynamics \h </w:instrText>
      </w:r>
      <w:r>
        <w:fldChar w:fldCharType="separate"/>
      </w:r>
      <w:r>
        <w:t>B.4</w:t>
      </w:r>
      <w:r>
        <w:fldChar w:fldCharType="end"/>
      </w:r>
      <w:r>
        <w:t xml:space="preserve"> will show that the controller stability and the controller dynamics are not only influenced by the control function</w:t>
      </w:r>
      <w:r w:rsidRPr="006D5A61">
        <w:t xml:space="preserve"> </w:t>
      </w:r>
      <w:r>
        <w:t>c</w:t>
      </w:r>
      <w:r w:rsidRPr="00C53B80">
        <w:rPr>
          <w:vertAlign w:val="subscript"/>
        </w:rPr>
        <w:t>fn</w:t>
      </w:r>
      <w:r>
        <w:t xml:space="preserve"> but also by filter function</w:t>
      </w:r>
      <w:r w:rsidRPr="00C6510F">
        <w:rPr>
          <w:i/>
        </w:rPr>
        <w:t xml:space="preserve"> </w:t>
      </w:r>
      <w:r w:rsidRPr="00445DD4">
        <w:rPr>
          <w:i/>
        </w:rPr>
        <w:t>α</w:t>
      </w:r>
      <w:r>
        <w:sym w:font="Symbol" w:char="F0B4"/>
      </w:r>
      <w:r w:rsidRPr="00C53B80">
        <w:t>f</w:t>
      </w:r>
      <w:r w:rsidRPr="00C53B80">
        <w:rPr>
          <w:vertAlign w:val="subscript"/>
        </w:rPr>
        <w:t>fn</w:t>
      </w:r>
      <w:r>
        <w:t>.</w:t>
      </w:r>
    </w:p>
    <w:p w14:paraId="480B23C8" w14:textId="77777777" w:rsidR="009042C0" w:rsidRDefault="009042C0" w:rsidP="009042C0">
      <w:r>
        <w:t xml:space="preserve">Finally, when substituting </w:t>
      </w:r>
      <w:r w:rsidRPr="0032123C">
        <w:rPr>
          <w:i/>
        </w:rPr>
        <w:t>U</w:t>
      </w:r>
      <w:r w:rsidRPr="0032123C">
        <w:rPr>
          <w:i/>
          <w:vertAlign w:val="subscript"/>
        </w:rPr>
        <w:t>max</w:t>
      </w:r>
      <w:r>
        <w:t>=</w:t>
      </w:r>
      <w:r w:rsidRPr="00673D02">
        <w:rPr>
          <w:i/>
        </w:rPr>
        <w:t>u</w:t>
      </w:r>
      <w:r>
        <w:t xml:space="preserve"> into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the steady state control equilibrium </w:t>
      </w:r>
      <m:oMath>
        <m:acc>
          <m:accPr>
            <m:chr m:val="̃"/>
            <m:ctrlPr>
              <w:rPr>
                <w:rFonts w:ascii="Cambria Math" w:hAnsi="Cambria Math"/>
                <w:i/>
                <w:noProof/>
              </w:rPr>
            </m:ctrlPr>
          </m:accPr>
          <m:e>
            <m:r>
              <w:rPr>
                <w:rFonts w:ascii="Cambria Math" w:hAnsi="Cambria Math"/>
              </w:rPr>
              <m:t>CL</m:t>
            </m:r>
          </m:e>
        </m:acc>
      </m:oMath>
      <w:r>
        <w:t xml:space="preserve"> can be calculated from the control function c</w:t>
      </w:r>
      <w:r w:rsidRPr="00C53B80">
        <w:rPr>
          <w:vertAlign w:val="subscript"/>
        </w:rPr>
        <w:t>fn</w:t>
      </w:r>
      <w:r>
        <w:t xml:space="preserve"> for a given number of nodes </w:t>
      </w:r>
      <w:r w:rsidRPr="00673D02">
        <w:rPr>
          <w:i/>
        </w:rPr>
        <w:t>N</w:t>
      </w:r>
      <w:r>
        <w:t xml:space="preserve"> when solving equation </w:t>
      </w:r>
      <w:r>
        <w:fldChar w:fldCharType="begin"/>
      </w:r>
      <w:r>
        <w:instrText xml:space="preserve"> REF EQ_CL_equilibrium \h </w:instrText>
      </w:r>
      <w:r>
        <w:fldChar w:fldCharType="separate"/>
      </w:r>
      <w:r>
        <w:rPr>
          <w:noProof/>
        </w:rPr>
        <w:t>14</w:t>
      </w:r>
      <w:r>
        <w:fldChar w:fldCharType="end"/>
      </w:r>
      <w:r>
        <w:t xml:space="preserve"> for </w:t>
      </w:r>
      <m:oMath>
        <m:acc>
          <m:accPr>
            <m:chr m:val="̃"/>
            <m:ctrlPr>
              <w:rPr>
                <w:rFonts w:ascii="Cambria Math" w:hAnsi="Cambria Math"/>
                <w:i/>
                <w:noProof/>
              </w:rPr>
            </m:ctrlPr>
          </m:accPr>
          <m:e>
            <m:r>
              <w:rPr>
                <w:rFonts w:ascii="Cambria Math" w:hAnsi="Cambria Math"/>
              </w:rPr>
              <m:t>CL</m:t>
            </m:r>
          </m:e>
        </m:acc>
      </m:oMath>
      <w:r>
        <w:t>:</w:t>
      </w:r>
    </w:p>
    <w:p w14:paraId="6E689927" w14:textId="77777777" w:rsidR="009042C0" w:rsidRPr="00FC5464" w:rsidRDefault="009042C0" w:rsidP="009042C0">
      <w:pPr>
        <w:pStyle w:val="EQ"/>
        <w:rPr>
          <w:lang w:val="it-IT"/>
        </w:rPr>
      </w:pPr>
      <w:r>
        <w:tab/>
      </w:r>
      <m:oMath>
        <m:acc>
          <m:accPr>
            <m:chr m:val="̃"/>
            <m:ctrlPr>
              <w:rPr>
                <w:rFonts w:ascii="Cambria Math" w:hAnsi="Cambria Math"/>
                <w:i/>
              </w:rPr>
            </m:ctrlPr>
          </m:accPr>
          <m:e>
            <m:r>
              <w:rPr>
                <w:rFonts w:ascii="Cambria Math" w:hAnsi="Cambria Math"/>
              </w:rPr>
              <m:t>CL</m:t>
            </m:r>
          </m:e>
        </m:acc>
        <m:r>
          <w:rPr>
            <w:rFonts w:ascii="Cambria Math" w:hAnsi="Cambria Math"/>
            <w:lang w:val="it-IT"/>
          </w:rPr>
          <m:t>=</m:t>
        </m:r>
        <m:r>
          <w:rPr>
            <w:rFonts w:ascii="Cambria Math" w:hAnsi="Cambria Math"/>
          </w:rPr>
          <m:t>N</m:t>
        </m:r>
        <m:r>
          <w:rPr>
            <w:rFonts w:ascii="Cambria Math" w:hAnsi="Cambria Math"/>
            <w:lang w:val="it-IT"/>
          </w:rPr>
          <m:t>×</m:t>
        </m:r>
        <m:sSub>
          <m:sSubPr>
            <m:ctrlPr>
              <w:rPr>
                <w:rFonts w:ascii="Cambria Math" w:hAnsi="Cambria Math"/>
                <w:i/>
              </w:rPr>
            </m:ctrlPr>
          </m:sSubPr>
          <m:e>
            <m:r>
              <m:rPr>
                <m:nor/>
              </m:rPr>
              <w:rPr>
                <w:rFonts w:ascii="Cambria Math" w:hAnsi="Cambria Math"/>
                <w:lang w:val="it-IT"/>
              </w:rPr>
              <m:t>c</m:t>
            </m:r>
          </m:e>
          <m:sub>
            <m:r>
              <m:rPr>
                <m:nor/>
              </m:rPr>
              <w:rPr>
                <w:rFonts w:ascii="Cambria Math" w:hAnsi="Cambria Math"/>
                <w:lang w:val="it-IT"/>
              </w:rPr>
              <m:t>fn</m:t>
            </m:r>
          </m:sub>
        </m:sSub>
        <m:d>
          <m:dPr>
            <m:ctrlPr>
              <w:rPr>
                <w:rFonts w:ascii="Cambria Math" w:hAnsi="Cambria Math"/>
                <w:i/>
              </w:rPr>
            </m:ctrlPr>
          </m:dPr>
          <m:e>
            <m:acc>
              <m:accPr>
                <m:chr m:val="̃"/>
                <m:ctrlPr>
                  <w:rPr>
                    <w:rFonts w:ascii="Cambria Math" w:hAnsi="Cambria Math"/>
                    <w:i/>
                  </w:rPr>
                </m:ctrlPr>
              </m:accPr>
              <m:e>
                <m:r>
                  <w:rPr>
                    <w:rFonts w:ascii="Cambria Math" w:hAnsi="Cambria Math"/>
                  </w:rPr>
                  <m:t>CL</m:t>
                </m:r>
              </m:e>
            </m:acc>
          </m:e>
        </m:d>
      </m:oMath>
      <w:r w:rsidRPr="00FC5464">
        <w:rPr>
          <w:lang w:val="it-IT"/>
        </w:rPr>
        <w:tab/>
        <w:t>(</w:t>
      </w:r>
      <w:bookmarkStart w:id="296" w:name="EQ_CL_equilibrium"/>
      <w:r w:rsidRPr="00445DD4">
        <w:fldChar w:fldCharType="begin"/>
      </w:r>
      <w:r w:rsidRPr="00FC5464">
        <w:rPr>
          <w:lang w:val="it-IT"/>
        </w:rPr>
        <w:instrText xml:space="preserve"> SEQ Eq \* MERGEFORMAT </w:instrText>
      </w:r>
      <w:r w:rsidRPr="00445DD4">
        <w:fldChar w:fldCharType="separate"/>
      </w:r>
      <w:r w:rsidRPr="00FC5464">
        <w:rPr>
          <w:lang w:val="it-IT"/>
        </w:rPr>
        <w:t>14</w:t>
      </w:r>
      <w:r w:rsidRPr="00445DD4">
        <w:fldChar w:fldCharType="end"/>
      </w:r>
      <w:bookmarkEnd w:id="296"/>
      <w:r w:rsidRPr="00FC5464">
        <w:rPr>
          <w:lang w:val="it-IT"/>
        </w:rPr>
        <w:t>)</w:t>
      </w:r>
    </w:p>
    <w:p w14:paraId="3DC863C8" w14:textId="77777777" w:rsidR="009042C0" w:rsidRPr="00FF058C" w:rsidRDefault="009042C0" w:rsidP="009042C0">
      <w:pPr>
        <w:pStyle w:val="Heading2"/>
      </w:pPr>
      <w:bookmarkStart w:id="297" w:name="Cls_B_Stability"/>
      <w:bookmarkStart w:id="298" w:name="_Toc197337068"/>
      <w:r w:rsidRPr="00FC5464">
        <w:rPr>
          <w:lang w:val="it-IT"/>
        </w:rPr>
        <w:t>B.3</w:t>
      </w:r>
      <w:bookmarkEnd w:id="297"/>
      <w:r w:rsidRPr="00FF058C">
        <w:tab/>
        <w:t>Stability</w:t>
      </w:r>
      <w:bookmarkEnd w:id="298"/>
    </w:p>
    <w:p w14:paraId="4BA8B7D0" w14:textId="77777777" w:rsidR="009042C0" w:rsidRDefault="009042C0" w:rsidP="009042C0">
      <w:pPr>
        <w:pStyle w:val="Heading3"/>
      </w:pPr>
      <w:bookmarkStart w:id="299" w:name="_Toc197337069"/>
      <w:r w:rsidRPr="00183025">
        <w:t>B.3.1</w:t>
      </w:r>
      <w:r w:rsidRPr="00183025">
        <w:tab/>
      </w:r>
      <w:r>
        <w:t>Different types of stability</w:t>
      </w:r>
      <w:bookmarkEnd w:id="299"/>
    </w:p>
    <w:p w14:paraId="22A07D55" w14:textId="77777777" w:rsidR="009042C0" w:rsidRDefault="009042C0" w:rsidP="009042C0">
      <w:r>
        <w:t xml:space="preserve">Congestion control algorithms are implemented as discrete-time controllers. That means that they will change the control value (channel utilization </w:t>
      </w:r>
      <w:r w:rsidRPr="00673D02">
        <w:rPr>
          <w:i/>
        </w:rPr>
        <w:t>u</w:t>
      </w:r>
      <w:r>
        <w:t xml:space="preserve">) not at any arbitrary point in time, but only after discrete time intervals </w:t>
      </w:r>
      <w:r w:rsidRPr="00673D02">
        <w:rPr>
          <w:i/>
        </w:rPr>
        <w:sym w:font="Symbol" w:char="F074"/>
      </w:r>
      <w:r>
        <w:t xml:space="preserve">. This implies that a stability evaluation cannot be done by inspecting the continuous time differential equation of the control loop alone. In addition, discrete time oscillations, caused by too long intervals </w:t>
      </w:r>
      <w:r w:rsidRPr="0032123C">
        <w:rPr>
          <w:i/>
        </w:rPr>
        <w:sym w:font="Symbol" w:char="F074"/>
      </w:r>
      <w:r>
        <w:t>, need to be studied.</w:t>
      </w:r>
    </w:p>
    <w:p w14:paraId="01F4E665" w14:textId="77777777" w:rsidR="009042C0" w:rsidRDefault="009042C0" w:rsidP="009042C0">
      <w:r>
        <w:t xml:space="preserve">Controller stability is given when within a given range of node numbers </w:t>
      </w:r>
      <w:r w:rsidRPr="00673D02">
        <w:rPr>
          <w:i/>
        </w:rPr>
        <w:t>N</w:t>
      </w:r>
      <w:r>
        <w:t xml:space="preserve"> the control loop converges independently of the initial channel load </w:t>
      </w:r>
      <w:r>
        <w:rPr>
          <w:i/>
        </w:rPr>
        <w:t>C</w:t>
      </w:r>
      <w:r w:rsidRPr="00673D02">
        <w:rPr>
          <w:i/>
        </w:rPr>
        <w:t>L</w:t>
      </w:r>
      <w:r>
        <w:t>(</w:t>
      </w:r>
      <w:r w:rsidRPr="00673D02">
        <w:rPr>
          <w:i/>
        </w:rPr>
        <w:t>t</w:t>
      </w:r>
      <w:r w:rsidRPr="00673D02">
        <w:rPr>
          <w:vertAlign w:val="subscript"/>
        </w:rPr>
        <w:t>0</w:t>
      </w:r>
      <w:r>
        <w:t xml:space="preserve">) to a channel load </w:t>
      </w:r>
      <w:r w:rsidRPr="00673D02">
        <w:rPr>
          <w:i/>
        </w:rPr>
        <w:t>CL</w:t>
      </w:r>
      <w:r>
        <w:t>(</w:t>
      </w:r>
      <w:r w:rsidRPr="00673D02">
        <w:rPr>
          <w:i/>
        </w:rPr>
        <w:t>t</w:t>
      </w:r>
      <w:r>
        <w:t>) that is bounded within a defined small range (bounded stability). Such a bounded stability criteria is necessary to account for quantisation steps in time and channel utilisation.</w:t>
      </w:r>
    </w:p>
    <w:p w14:paraId="2B37733B" w14:textId="77777777" w:rsidR="009042C0" w:rsidRDefault="009042C0" w:rsidP="009042C0">
      <w:pPr>
        <w:pStyle w:val="Heading3"/>
      </w:pPr>
      <w:bookmarkStart w:id="300" w:name="_Toc197337070"/>
      <w:r>
        <w:t>B.3.2</w:t>
      </w:r>
      <w:r>
        <w:tab/>
        <w:t>Description of the controller by a differential equation</w:t>
      </w:r>
      <w:bookmarkEnd w:id="300"/>
    </w:p>
    <w:p w14:paraId="094C5D4E" w14:textId="77777777" w:rsidR="009042C0" w:rsidRDefault="009042C0" w:rsidP="009042C0">
      <w:pPr>
        <w:pStyle w:val="BodyText"/>
      </w:pPr>
      <w:r w:rsidRPr="00C53B80">
        <w:t>To analyse the dynamic behaviour of the distributed controllers the discrete time control equation </w:t>
      </w:r>
      <w:r>
        <w:fldChar w:fldCharType="begin"/>
      </w:r>
      <w:r>
        <w:instrText xml:space="preserve"> REF EQ_umax_t \h </w:instrText>
      </w:r>
      <w:r>
        <w:fldChar w:fldCharType="separate"/>
      </w:r>
      <w:r>
        <w:rPr>
          <w:noProof/>
        </w:rPr>
        <w:t>11</w:t>
      </w:r>
      <w:r>
        <w:fldChar w:fldCharType="end"/>
      </w:r>
      <w:r w:rsidRPr="00C53B80">
        <w:t xml:space="preserve"> </w:t>
      </w:r>
      <w:r>
        <w:t xml:space="preserve">is converted </w:t>
      </w:r>
      <w:r w:rsidRPr="00C53B80">
        <w:t>into the differential equation </w:t>
      </w:r>
      <w:r>
        <w:fldChar w:fldCharType="begin"/>
      </w:r>
      <w:r w:rsidRPr="00C53B80">
        <w:instrText xml:space="preserve"> REF EQ_dudt \h </w:instrText>
      </w:r>
      <w:r>
        <w:fldChar w:fldCharType="separate"/>
      </w:r>
      <w:r>
        <w:rPr>
          <w:noProof/>
        </w:rPr>
        <w:t>17</w:t>
      </w:r>
      <w:r>
        <w:fldChar w:fldCharType="end"/>
      </w:r>
      <w:r>
        <w:t xml:space="preserve">. This is done in a first step by dividing </w:t>
      </w:r>
      <w:r w:rsidRPr="00C53B80">
        <w:t>equation </w:t>
      </w:r>
      <w:r>
        <w:fldChar w:fldCharType="begin"/>
      </w:r>
      <w:r>
        <w:instrText xml:space="preserve"> REF EQ_umax_t \h </w:instrText>
      </w:r>
      <w:r>
        <w:fldChar w:fldCharType="separate"/>
      </w:r>
      <w:r>
        <w:rPr>
          <w:noProof/>
        </w:rPr>
        <w:t>11</w:t>
      </w:r>
      <w:r>
        <w:fldChar w:fldCharType="end"/>
      </w:r>
      <w:r>
        <w:t xml:space="preserve"> by the discrete time step size </w:t>
      </w:r>
      <w:r w:rsidRPr="00673D02">
        <w:rPr>
          <w:i/>
        </w:rPr>
        <w:sym w:font="Symbol" w:char="F074"/>
      </w:r>
      <w:r>
        <w:t xml:space="preserve"> and rewriting it in such way that the difference equation </w:t>
      </w:r>
      <w:r>
        <w:fldChar w:fldCharType="begin"/>
      </w:r>
      <w:r>
        <w:instrText xml:space="preserve"> REF EQ_difference_eq \h </w:instrText>
      </w:r>
      <w:r>
        <w:fldChar w:fldCharType="separate"/>
      </w:r>
      <w:r>
        <w:rPr>
          <w:noProof/>
        </w:rPr>
        <w:t>15</w:t>
      </w:r>
      <w:r>
        <w:fldChar w:fldCharType="end"/>
      </w:r>
      <w:r>
        <w:t xml:space="preserve"> is obtained</w:t>
      </w:r>
      <w:r w:rsidRPr="00C53B80">
        <w:t>.</w:t>
      </w:r>
    </w:p>
    <w:p w14:paraId="51A42CA9" w14:textId="77777777" w:rsidR="009042C0" w:rsidRDefault="009042C0" w:rsidP="009042C0">
      <w:pPr>
        <w:pStyle w:val="BodyText"/>
      </w:pPr>
      <w:r>
        <w:t>The left side of equation </w:t>
      </w:r>
      <w:r>
        <w:fldChar w:fldCharType="begin"/>
      </w:r>
      <w:r>
        <w:instrText xml:space="preserve"> REF EQ_difference_eq \h </w:instrText>
      </w:r>
      <w:r>
        <w:fldChar w:fldCharType="separate"/>
      </w:r>
      <w:r>
        <w:rPr>
          <w:noProof/>
        </w:rPr>
        <w:t>15</w:t>
      </w:r>
      <w:r>
        <w:fldChar w:fldCharType="end"/>
      </w:r>
      <w:r>
        <w:t xml:space="preserve"> is the ratio between the utilization difference </w:t>
      </w:r>
      <w:r>
        <w:sym w:font="Symbol" w:char="F044"/>
      </w:r>
      <w:r w:rsidRPr="00673D02">
        <w:rPr>
          <w:i/>
        </w:rPr>
        <w:t>u</w:t>
      </w:r>
      <w:r w:rsidRPr="00673D02">
        <w:rPr>
          <w:i/>
          <w:vertAlign w:val="subscript"/>
        </w:rPr>
        <w:t>max</w:t>
      </w:r>
      <w:r>
        <w:t> = </w:t>
      </w:r>
      <w:r w:rsidRPr="00673D02">
        <w:rPr>
          <w:i/>
        </w:rPr>
        <w:t>u</w:t>
      </w:r>
      <w:r w:rsidRPr="00673D02">
        <w:rPr>
          <w:i/>
          <w:vertAlign w:val="subscript"/>
        </w:rPr>
        <w:t>max</w:t>
      </w:r>
      <w:r w:rsidRPr="000E1CC0">
        <w:t>(</w:t>
      </w:r>
      <w:r w:rsidRPr="00673D02">
        <w:rPr>
          <w:i/>
        </w:rPr>
        <w:t>t</w:t>
      </w:r>
      <w:r w:rsidRPr="000E1CC0">
        <w:t>)</w:t>
      </w:r>
      <w:r>
        <w:noBreakHyphen/>
      </w:r>
      <w:r w:rsidRPr="00673D02">
        <w:rPr>
          <w:i/>
        </w:rPr>
        <w:t>u</w:t>
      </w:r>
      <w:r w:rsidRPr="00673D02">
        <w:rPr>
          <w:i/>
          <w:vertAlign w:val="subscript"/>
        </w:rPr>
        <w:t>max</w:t>
      </w:r>
      <w:r w:rsidRPr="000E1CC0">
        <w:t>(</w:t>
      </w:r>
      <w:r w:rsidRPr="00673D02">
        <w:rPr>
          <w:i/>
        </w:rPr>
        <w:t>t</w:t>
      </w:r>
      <w:r>
        <w:noBreakHyphen/>
      </w:r>
      <w:r w:rsidRPr="00673D02">
        <w:rPr>
          <w:i/>
        </w:rPr>
        <w:t>τ</w:t>
      </w:r>
      <w:r w:rsidRPr="000E1CC0">
        <w:t>)</w:t>
      </w:r>
      <w:r>
        <w:t xml:space="preserve"> and the time difference </w:t>
      </w:r>
      <w:r>
        <w:sym w:font="Symbol" w:char="F044"/>
      </w:r>
      <w:r w:rsidRPr="00673D02">
        <w:rPr>
          <w:i/>
        </w:rPr>
        <w:t>t</w:t>
      </w:r>
      <w:r>
        <w:rPr>
          <w:i/>
        </w:rPr>
        <w:t> </w:t>
      </w:r>
      <w:r>
        <w:t>= </w:t>
      </w:r>
      <w:r w:rsidRPr="004F547E">
        <w:rPr>
          <w:i/>
        </w:rPr>
        <w:sym w:font="Symbol" w:char="F074"/>
      </w:r>
      <w:r w:rsidRPr="000E1CC0">
        <w:t xml:space="preserve"> </w:t>
      </w:r>
      <w:r>
        <w:t xml:space="preserve">between </w:t>
      </w:r>
      <w:r w:rsidRPr="004F547E">
        <w:rPr>
          <w:i/>
        </w:rPr>
        <w:t>u</w:t>
      </w:r>
      <w:r w:rsidRPr="004F547E">
        <w:rPr>
          <w:i/>
          <w:vertAlign w:val="subscript"/>
        </w:rPr>
        <w:t>max</w:t>
      </w:r>
      <w:r w:rsidRPr="000E1CC0">
        <w:t>(</w:t>
      </w:r>
      <w:r w:rsidRPr="004F547E">
        <w:rPr>
          <w:i/>
        </w:rPr>
        <w:t>t</w:t>
      </w:r>
      <w:r w:rsidRPr="000E1CC0">
        <w:t>)</w:t>
      </w:r>
      <w:r>
        <w:t xml:space="preserve"> and </w:t>
      </w:r>
      <w:r w:rsidRPr="004F547E">
        <w:rPr>
          <w:i/>
        </w:rPr>
        <w:t>u</w:t>
      </w:r>
      <w:r w:rsidRPr="004F547E">
        <w:rPr>
          <w:i/>
          <w:vertAlign w:val="subscript"/>
        </w:rPr>
        <w:t>max</w:t>
      </w:r>
      <w:r w:rsidRPr="000E1CC0">
        <w:t>(</w:t>
      </w:r>
      <w:r w:rsidRPr="004F547E">
        <w:rPr>
          <w:i/>
        </w:rPr>
        <w:t>t</w:t>
      </w:r>
      <w:r>
        <w:noBreakHyphen/>
      </w:r>
      <w:r w:rsidRPr="004F547E">
        <w:rPr>
          <w:i/>
        </w:rPr>
        <w:t>τ</w:t>
      </w:r>
      <w:r w:rsidRPr="000E1CC0">
        <w:t>)</w:t>
      </w:r>
      <w:r>
        <w:t xml:space="preserve">. When additionally substituting </w:t>
      </w:r>
      <w:r w:rsidRPr="004F547E">
        <w:rPr>
          <w:i/>
        </w:rPr>
        <w:t>t</w:t>
      </w:r>
      <w:r>
        <w:noBreakHyphen/>
      </w:r>
      <w:r w:rsidRPr="004F547E">
        <w:rPr>
          <w:i/>
        </w:rPr>
        <w:t>τ</w:t>
      </w:r>
      <w:r>
        <w:t xml:space="preserve"> by </w:t>
      </w:r>
      <w:r w:rsidRPr="004F547E">
        <w:rPr>
          <w:i/>
        </w:rPr>
        <w:t>t</w:t>
      </w:r>
      <w:r>
        <w:noBreakHyphen/>
      </w:r>
      <w:r>
        <w:sym w:font="Symbol" w:char="F044"/>
      </w:r>
      <w:r w:rsidRPr="004F547E">
        <w:rPr>
          <w:i/>
        </w:rPr>
        <w:t>t</w:t>
      </w:r>
      <w:r>
        <w:t xml:space="preserve"> on the right side of</w:t>
      </w:r>
      <w:r w:rsidRPr="000E1CC0">
        <w:t xml:space="preserve"> </w:t>
      </w:r>
      <w:r>
        <w:t>equation </w:t>
      </w:r>
      <w:r>
        <w:fldChar w:fldCharType="begin"/>
      </w:r>
      <w:r>
        <w:instrText xml:space="preserve"> REF EQ_difference_eq \h </w:instrText>
      </w:r>
      <w:r>
        <w:fldChar w:fldCharType="separate"/>
      </w:r>
      <w:r>
        <w:rPr>
          <w:noProof/>
        </w:rPr>
        <w:t>15</w:t>
      </w:r>
      <w:r>
        <w:fldChar w:fldCharType="end"/>
      </w:r>
      <w:r>
        <w:t>, equation </w:t>
      </w:r>
      <w:r>
        <w:fldChar w:fldCharType="begin"/>
      </w:r>
      <w:r>
        <w:instrText xml:space="preserve"> REF EQ_delta_eq \h </w:instrText>
      </w:r>
      <w:r>
        <w:fldChar w:fldCharType="separate"/>
      </w:r>
      <w:r>
        <w:rPr>
          <w:noProof/>
        </w:rPr>
        <w:t>16</w:t>
      </w:r>
      <w:r>
        <w:fldChar w:fldCharType="end"/>
      </w:r>
      <w:r>
        <w:t xml:space="preserve"> is obtained.</w:t>
      </w:r>
    </w:p>
    <w:p w14:paraId="2252397F" w14:textId="77777777" w:rsidR="009042C0" w:rsidRDefault="009042C0" w:rsidP="009042C0">
      <w:pPr>
        <w:pStyle w:val="BodyText"/>
      </w:pPr>
      <w:r>
        <w:t>Under the assumption that the control function c</w:t>
      </w:r>
      <w:r w:rsidRPr="00673D02">
        <w:rPr>
          <w:vertAlign w:val="subscript"/>
        </w:rPr>
        <w:t>fn</w:t>
      </w:r>
      <w:r>
        <w:t xml:space="preserve"> and the filtering function f</w:t>
      </w:r>
      <w:r w:rsidRPr="00673D02">
        <w:rPr>
          <w:vertAlign w:val="subscript"/>
        </w:rPr>
        <w:t>fn</w:t>
      </w:r>
      <w:r>
        <w:rPr>
          <w:vertAlign w:val="subscript"/>
        </w:rPr>
        <w:t xml:space="preserve"> </w:t>
      </w:r>
      <w:r>
        <w:t>are both analytic, the difference equation </w:t>
      </w:r>
      <w:r>
        <w:fldChar w:fldCharType="begin"/>
      </w:r>
      <w:r>
        <w:instrText xml:space="preserve"> REF EQ_delta_eq \h </w:instrText>
      </w:r>
      <w:r>
        <w:fldChar w:fldCharType="separate"/>
      </w:r>
      <w:r>
        <w:rPr>
          <w:noProof/>
        </w:rPr>
        <w:t>16</w:t>
      </w:r>
      <w:r>
        <w:fldChar w:fldCharType="end"/>
      </w:r>
      <w:r>
        <w:t xml:space="preserve"> can be converted by a limiting process into the differential equation </w:t>
      </w:r>
      <w:r>
        <w:fldChar w:fldCharType="begin"/>
      </w:r>
      <w:r>
        <w:instrText xml:space="preserve"> REF EQ_dudt \h </w:instrText>
      </w:r>
      <w:r>
        <w:fldChar w:fldCharType="separate"/>
      </w:r>
      <w:r>
        <w:rPr>
          <w:noProof/>
        </w:rPr>
        <w:t>17</w:t>
      </w:r>
      <w:r>
        <w:fldChar w:fldCharType="end"/>
      </w:r>
      <w:r>
        <w:t xml:space="preserve">. </w:t>
      </w:r>
      <w:r w:rsidRPr="00C53B80">
        <w:t xml:space="preserve">Where </w:t>
      </w:r>
      <w:r w:rsidRPr="00C53B80">
        <w:rPr>
          <w:i/>
        </w:rPr>
        <w:t>u</w:t>
      </w:r>
      <w:r w:rsidRPr="00C53B80">
        <w:t>(</w:t>
      </w:r>
      <w:r w:rsidRPr="00C53B80">
        <w:rPr>
          <w:i/>
        </w:rPr>
        <w:t>t</w:t>
      </w:r>
      <w:r w:rsidRPr="00C53B80">
        <w:t xml:space="preserve">) is the continuous time function corresponding to the discrete time function </w:t>
      </w:r>
      <w:r w:rsidRPr="00C53B80">
        <w:rPr>
          <w:i/>
        </w:rPr>
        <w:t>u</w:t>
      </w:r>
      <w:r w:rsidRPr="00C53B80">
        <w:rPr>
          <w:i/>
          <w:vertAlign w:val="subscript"/>
        </w:rPr>
        <w:t>max</w:t>
      </w:r>
      <w:r w:rsidRPr="00C53B80">
        <w:t>(</w:t>
      </w:r>
      <w:r w:rsidRPr="00C53B80">
        <w:rPr>
          <w:i/>
        </w:rPr>
        <w:t>t</w:t>
      </w:r>
      <w:r w:rsidRPr="00C53B80">
        <w:t>).</w:t>
      </w:r>
    </w:p>
    <w:p w14:paraId="47747868" w14:textId="77777777" w:rsidR="009042C0" w:rsidRDefault="009042C0" w:rsidP="009042C0">
      <w:pPr>
        <w:pStyle w:val="EQ"/>
      </w:pPr>
      <w:r>
        <w:rPr>
          <w:noProof w:val="0"/>
        </w:rPr>
        <w:tab/>
      </w:r>
      <m:oMath>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max</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max</m:t>
                </m:r>
              </m:sub>
            </m:sSub>
            <m:d>
              <m:dPr>
                <m:ctrlPr>
                  <w:rPr>
                    <w:rFonts w:ascii="Cambria Math" w:hAnsi="Cambria Math"/>
                    <w:i/>
                  </w:rPr>
                </m:ctrlPr>
              </m:dPr>
              <m:e>
                <m:r>
                  <w:rPr>
                    <w:rFonts w:ascii="Cambria Math" w:hAnsi="Cambria Math"/>
                  </w:rPr>
                  <m:t>t-τ</m:t>
                </m:r>
              </m:e>
            </m:d>
          </m:num>
          <m:den>
            <m:r>
              <w:rPr>
                <w:rFonts w:ascii="Cambria Math" w:hAnsi="Cambria Math"/>
              </w:rPr>
              <m:t>τ</m:t>
            </m:r>
          </m:den>
        </m:f>
        <m:r>
          <w:rPr>
            <w:rFonts w:ascii="Cambria Math" w:hAnsi="Cambria Math"/>
          </w:rPr>
          <m:t>=</m:t>
        </m:r>
        <m:f>
          <m:fPr>
            <m:ctrlPr>
              <w:rPr>
                <w:rFonts w:ascii="Cambria Math" w:hAnsi="Cambria Math"/>
                <w:i/>
              </w:rPr>
            </m:ctrlPr>
          </m:fPr>
          <m:num>
            <m:r>
              <w:rPr>
                <w:rFonts w:ascii="Cambria Math" w:hAnsi="Cambria Math"/>
              </w:rPr>
              <m:t>α×</m:t>
            </m:r>
            <m:sSub>
              <m:sSubPr>
                <m:ctrlPr>
                  <w:rPr>
                    <w:rFonts w:ascii="Cambria Math" w:hAnsi="Cambria Math"/>
                    <w:i/>
                  </w:rPr>
                </m:ctrlPr>
              </m:sSubPr>
              <m:e>
                <m:r>
                  <m:rPr>
                    <m:nor/>
                  </m:rPr>
                  <w:rPr>
                    <w:rFonts w:ascii="Cambria Math" w:hAnsi="Cambria Math"/>
                  </w:rPr>
                  <m:t>f</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t-τ</m:t>
                    </m:r>
                  </m:e>
                </m:d>
              </m:e>
            </m:d>
          </m:num>
          <m:den>
            <m:r>
              <w:rPr>
                <w:rFonts w:ascii="Cambria Math" w:hAnsi="Cambria Math"/>
              </w:rPr>
              <m:t>τ</m:t>
            </m:r>
          </m:den>
        </m:f>
        <m:r>
          <w:rPr>
            <w:rFonts w:ascii="Cambria Math" w:hAnsi="Cambria Math"/>
          </w:rPr>
          <m:t>×</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t-τ</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max</m:t>
                </m:r>
              </m:sub>
            </m:sSub>
            <m:d>
              <m:dPr>
                <m:ctrlPr>
                  <w:rPr>
                    <w:rFonts w:ascii="Cambria Math" w:hAnsi="Cambria Math"/>
                    <w:i/>
                  </w:rPr>
                </m:ctrlPr>
              </m:dPr>
              <m:e>
                <m:r>
                  <w:rPr>
                    <w:rFonts w:ascii="Cambria Math" w:hAnsi="Cambria Math"/>
                  </w:rPr>
                  <m:t>t-τ</m:t>
                </m:r>
              </m:e>
            </m:d>
          </m:e>
        </m:d>
      </m:oMath>
      <w:r>
        <w:tab/>
        <w:t>(</w:t>
      </w:r>
      <w:bookmarkStart w:id="301" w:name="EQ_difference_eq"/>
      <w:r w:rsidRPr="00445DD4">
        <w:fldChar w:fldCharType="begin"/>
      </w:r>
      <w:r w:rsidRPr="00445DD4">
        <w:instrText xml:space="preserve"> SEQ Eq \* MERGEFORMAT </w:instrText>
      </w:r>
      <w:r w:rsidRPr="00445DD4">
        <w:fldChar w:fldCharType="separate"/>
      </w:r>
      <w:r>
        <w:t>15</w:t>
      </w:r>
      <w:r w:rsidRPr="00445DD4">
        <w:fldChar w:fldCharType="end"/>
      </w:r>
      <w:bookmarkEnd w:id="301"/>
      <w:r>
        <w:t>)</w:t>
      </w:r>
    </w:p>
    <w:p w14:paraId="5A3BFB41" w14:textId="77777777" w:rsidR="009042C0" w:rsidRDefault="009042C0" w:rsidP="009042C0">
      <w:pPr>
        <w:pStyle w:val="EQ"/>
      </w:pPr>
      <w:r>
        <w:rPr>
          <w:noProof w:val="0"/>
        </w:rPr>
        <w:tab/>
      </w:r>
      <m:oMath>
        <m:f>
          <m:fPr>
            <m:ctrlPr>
              <w:rPr>
                <w:rFonts w:ascii="Cambria Math" w:hAnsi="Cambria Math"/>
                <w:i/>
              </w:rPr>
            </m:ctrlPr>
          </m:fPr>
          <m:num>
            <m:sSub>
              <m:sSubPr>
                <m:ctrlPr>
                  <w:rPr>
                    <w:rFonts w:ascii="Cambria Math" w:hAnsi="Cambria Math"/>
                    <w:i/>
                  </w:rPr>
                </m:ctrlPr>
              </m:sSubPr>
              <m:e>
                <m:r>
                  <w:rPr>
                    <w:rFonts w:ascii="Cambria Math" w:hAnsi="Cambria Math"/>
                  </w:rPr>
                  <m:t>∆u</m:t>
                </m:r>
              </m:e>
              <m:sub>
                <m:r>
                  <w:rPr>
                    <w:rFonts w:ascii="Cambria Math" w:hAnsi="Cambria Math"/>
                  </w:rPr>
                  <m:t>max</m:t>
                </m:r>
              </m:sub>
            </m:sSub>
          </m:num>
          <m:den>
            <m:r>
              <w:rPr>
                <w:rFonts w:ascii="Cambria Math" w:hAnsi="Cambria Math"/>
              </w:rPr>
              <m:t>∆t</m:t>
            </m:r>
          </m:den>
        </m:f>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α×</m:t>
                </m:r>
                <m:sSub>
                  <m:sSubPr>
                    <m:ctrlPr>
                      <w:rPr>
                        <w:rFonts w:ascii="Cambria Math" w:hAnsi="Cambria Math"/>
                        <w:i/>
                      </w:rPr>
                    </m:ctrlPr>
                  </m:sSubPr>
                  <m:e>
                    <m:r>
                      <m:rPr>
                        <m:nor/>
                      </m:rPr>
                      <w:rPr>
                        <w:rFonts w:ascii="Cambria Math" w:hAnsi="Cambria Math"/>
                      </w:rPr>
                      <m:t>f</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t-∆t</m:t>
                        </m:r>
                      </m:e>
                    </m:d>
                  </m:e>
                </m:d>
              </m:num>
              <m:den>
                <m:r>
                  <w:rPr>
                    <w:rFonts w:ascii="Cambria Math" w:hAnsi="Cambria Math"/>
                  </w:rPr>
                  <m:t>τ</m:t>
                </m:r>
              </m:den>
            </m:f>
            <m:r>
              <w:rPr>
                <w:rFonts w:ascii="Cambria Math" w:hAnsi="Cambria Math"/>
              </w:rPr>
              <m:t>×</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t-∆t</m:t>
                        </m:r>
                      </m:e>
                    </m:d>
                  </m:e>
                </m:d>
                <m:r>
                  <w:rPr>
                    <w:rFonts w:ascii="Cambria Math" w:hAnsi="Cambria Math"/>
                  </w:rPr>
                  <m:t>-</m:t>
                </m:r>
                <m:sSub>
                  <m:sSubPr>
                    <m:ctrlPr>
                      <w:rPr>
                        <w:rFonts w:ascii="Cambria Math" w:hAnsi="Cambria Math"/>
                        <w:i/>
                      </w:rPr>
                    </m:ctrlPr>
                  </m:sSubPr>
                  <m:e>
                    <m:r>
                      <w:rPr>
                        <w:rFonts w:ascii="Cambria Math" w:hAnsi="Cambria Math"/>
                      </w:rPr>
                      <m:t>u</m:t>
                    </m:r>
                  </m:e>
                  <m:sub>
                    <m:r>
                      <w:rPr>
                        <w:rFonts w:ascii="Cambria Math" w:hAnsi="Cambria Math"/>
                      </w:rPr>
                      <m:t>max</m:t>
                    </m:r>
                  </m:sub>
                </m:sSub>
                <m:d>
                  <m:dPr>
                    <m:ctrlPr>
                      <w:rPr>
                        <w:rFonts w:ascii="Cambria Math" w:hAnsi="Cambria Math"/>
                        <w:i/>
                      </w:rPr>
                    </m:ctrlPr>
                  </m:dPr>
                  <m:e>
                    <m:r>
                      <w:rPr>
                        <w:rFonts w:ascii="Cambria Math" w:hAnsi="Cambria Math"/>
                      </w:rPr>
                      <m:t>t-∆t</m:t>
                    </m:r>
                  </m:e>
                </m:d>
              </m:e>
            </m:d>
            <m:r>
              <w:rPr>
                <w:rFonts w:ascii="Cambria Math" w:hAnsi="Cambria Math"/>
              </w:rPr>
              <m:t xml:space="preserve"> </m:t>
            </m:r>
          </m:e>
        </m:d>
        <m:r>
          <w:rPr>
            <w:rFonts w:ascii="Cambria Math" w:hAnsi="Cambria Math"/>
          </w:rPr>
          <m:t xml:space="preserve"> </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∆t→0</m:t>
                </m:r>
              </m:lim>
            </m:limLow>
          </m:fName>
          <m:e/>
        </m:func>
      </m:oMath>
      <w:r>
        <w:tab/>
        <w:t>(</w:t>
      </w:r>
      <w:bookmarkStart w:id="302" w:name="EQ_delta_eq"/>
      <w:r w:rsidRPr="00445DD4">
        <w:fldChar w:fldCharType="begin"/>
      </w:r>
      <w:r w:rsidRPr="00445DD4">
        <w:instrText xml:space="preserve"> SEQ Eq \* MERGEFORMAT </w:instrText>
      </w:r>
      <w:r w:rsidRPr="00445DD4">
        <w:fldChar w:fldCharType="separate"/>
      </w:r>
      <w:r>
        <w:t>16</w:t>
      </w:r>
      <w:r w:rsidRPr="00445DD4">
        <w:fldChar w:fldCharType="end"/>
      </w:r>
      <w:bookmarkEnd w:id="302"/>
      <w:r>
        <w:t>)</w:t>
      </w:r>
    </w:p>
    <w:p w14:paraId="4A22E5C6" w14:textId="77777777" w:rsidR="009042C0" w:rsidRPr="000E1CC0" w:rsidRDefault="009042C0" w:rsidP="009042C0">
      <w:pPr>
        <w:pStyle w:val="EQ"/>
      </w:pPr>
    </w:p>
    <w:p w14:paraId="37D5ABC1" w14:textId="77777777" w:rsidR="009042C0" w:rsidRPr="00445DD4" w:rsidRDefault="009042C0" w:rsidP="009042C0">
      <w:pPr>
        <w:pStyle w:val="EQ"/>
      </w:pPr>
      <w:r w:rsidRPr="00445DD4">
        <w:tab/>
      </w:r>
      <m:oMath>
        <m:sSup>
          <m:sSupPr>
            <m:ctrlPr>
              <w:rPr>
                <w:rFonts w:ascii="Cambria Math" w:hAnsi="Cambria Math"/>
              </w:rPr>
            </m:ctrlPr>
          </m:sSupPr>
          <m:e>
            <m:r>
              <w:rPr>
                <w:rFonts w:ascii="Cambria Math" w:hAnsi="Cambria Math"/>
              </w:rPr>
              <m:t>u</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r>
              <w:rPr>
                <w:rFonts w:ascii="Cambria Math" w:hAnsi="Cambria Math"/>
              </w:rPr>
              <m:t>du</m:t>
            </m:r>
          </m:num>
          <m:den>
            <m:r>
              <w:rPr>
                <w:rFonts w:ascii="Cambria Math" w:hAnsi="Cambria Math"/>
              </w:rPr>
              <m:t>dt</m:t>
            </m:r>
          </m:den>
        </m:f>
        <m:r>
          <m:rPr>
            <m:sty m:val="p"/>
          </m:rPr>
          <w:rPr>
            <w:rFonts w:ascii="Cambria Math" w:hAnsi="Cambria Math"/>
          </w:rPr>
          <m:t>=</m:t>
        </m:r>
        <m:f>
          <m:fPr>
            <m:ctrlPr>
              <w:rPr>
                <w:rFonts w:ascii="Cambria Math" w:hAnsi="Cambria Math"/>
              </w:rPr>
            </m:ctrlPr>
          </m:fPr>
          <m:num>
            <m:r>
              <w:rPr>
                <w:rFonts w:ascii="Cambria Math" w:hAnsi="Cambria Math"/>
              </w:rPr>
              <m:t>α×</m:t>
            </m:r>
            <m:sSub>
              <m:sSubPr>
                <m:ctrlPr>
                  <w:rPr>
                    <w:rFonts w:ascii="Cambria Math" w:hAnsi="Cambria Math"/>
                    <w:i/>
                  </w:rPr>
                </m:ctrlPr>
              </m:sSubPr>
              <m:e>
                <m:r>
                  <m:rPr>
                    <m:nor/>
                  </m:rPr>
                  <w:rPr>
                    <w:rFonts w:ascii="Cambria Math" w:hAnsi="Cambria Math"/>
                  </w:rPr>
                  <m:t>f</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m:t>
                    </m:r>
                  </m:e>
                </m:d>
              </m:e>
            </m:d>
          </m:num>
          <m:den>
            <m:r>
              <w:rPr>
                <w:rFonts w:ascii="Cambria Math" w:hAnsi="Cambria Math"/>
              </w:rPr>
              <m:t>τ</m:t>
            </m:r>
          </m:den>
        </m:f>
        <m:r>
          <w:rPr>
            <w:rFonts w:ascii="Cambria Math" w:hAnsi="Cambria Math"/>
          </w:rPr>
          <m:t>×</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d>
                  <m:dPr>
                    <m:ctrlPr>
                      <w:rPr>
                        <w:rFonts w:ascii="Cambria Math" w:hAnsi="Cambria Math"/>
                        <w:i/>
                      </w:rPr>
                    </m:ctrlPr>
                  </m:dPr>
                  <m:e>
                    <m:r>
                      <w:rPr>
                        <w:rFonts w:ascii="Cambria Math" w:hAnsi="Cambria Math"/>
                      </w:rPr>
                      <m:t>t</m:t>
                    </m:r>
                  </m:e>
                </m:d>
              </m:e>
            </m:d>
            <m:r>
              <w:rPr>
                <w:rFonts w:ascii="Cambria Math" w:hAnsi="Cambria Math"/>
              </w:rPr>
              <m:t>-u</m:t>
            </m:r>
            <m:r>
              <m:rPr>
                <m:sty m:val="p"/>
              </m:rPr>
              <w:rPr>
                <w:rFonts w:ascii="Cambria Math" w:hAnsi="Cambria Math"/>
              </w:rPr>
              <m:t>(</m:t>
            </m:r>
            <m:r>
              <w:rPr>
                <w:rFonts w:ascii="Cambria Math" w:hAnsi="Cambria Math"/>
              </w:rPr>
              <m:t>t</m:t>
            </m:r>
            <m:r>
              <m:rPr>
                <m:sty m:val="p"/>
              </m:rPr>
              <w:rPr>
                <w:rFonts w:ascii="Cambria Math" w:hAnsi="Cambria Math"/>
              </w:rPr>
              <m:t>)</m:t>
            </m:r>
          </m:e>
        </m:d>
      </m:oMath>
      <w:r w:rsidRPr="00445DD4">
        <w:tab/>
        <w:t>(</w:t>
      </w:r>
      <w:bookmarkStart w:id="303" w:name="EQ_dudt"/>
      <w:r w:rsidRPr="00445DD4">
        <w:fldChar w:fldCharType="begin"/>
      </w:r>
      <w:r w:rsidRPr="00445DD4">
        <w:instrText xml:space="preserve"> SEQ Eq \* MERGEFORMAT </w:instrText>
      </w:r>
      <w:r w:rsidRPr="00445DD4">
        <w:fldChar w:fldCharType="separate"/>
      </w:r>
      <w:r>
        <w:t>17</w:t>
      </w:r>
      <w:r w:rsidRPr="00445DD4">
        <w:fldChar w:fldCharType="end"/>
      </w:r>
      <w:bookmarkEnd w:id="303"/>
      <w:r w:rsidRPr="00445DD4">
        <w:t>)</w:t>
      </w:r>
    </w:p>
    <w:p w14:paraId="1B2AE840" w14:textId="77777777" w:rsidR="009042C0" w:rsidRDefault="009042C0" w:rsidP="009042C0">
      <w:pPr>
        <w:rPr>
          <w:i/>
        </w:rPr>
      </w:pPr>
      <w:r>
        <w:t xml:space="preserve">For </w:t>
      </w:r>
      <w:r w:rsidRPr="00673D02">
        <w:rPr>
          <w:i/>
        </w:rPr>
        <w:t>N</w:t>
      </w:r>
      <w:r>
        <w:t xml:space="preserve"> identical controllers, the time behaviour of the channel utilisation </w:t>
      </w:r>
      <w:r w:rsidRPr="00C53B80">
        <w:rPr>
          <w:i/>
        </w:rPr>
        <w:t>u</w:t>
      </w:r>
      <w:r w:rsidRPr="00C53B80">
        <w:t>(</w:t>
      </w:r>
      <w:r w:rsidRPr="00C53B80">
        <w:rPr>
          <w:i/>
        </w:rPr>
        <w:t>t</w:t>
      </w:r>
      <w:r w:rsidRPr="00C53B80">
        <w:t xml:space="preserve">) </w:t>
      </w:r>
      <w:r>
        <w:t xml:space="preserve">as function of the number of nodes </w:t>
      </w:r>
      <w:r>
        <w:rPr>
          <w:i/>
        </w:rPr>
        <w:t xml:space="preserve">N </w:t>
      </w:r>
      <w:r>
        <w:t>results from solving differential equation </w:t>
      </w:r>
      <w:r>
        <w:fldChar w:fldCharType="begin"/>
      </w:r>
      <w:r>
        <w:instrText xml:space="preserve"> REF EQ_u_DEG \h </w:instrText>
      </w:r>
      <w:r>
        <w:fldChar w:fldCharType="separate"/>
      </w:r>
      <w:r>
        <w:rPr>
          <w:noProof/>
        </w:rPr>
        <w:t>18</w:t>
      </w:r>
      <w:r>
        <w:fldChar w:fldCharType="end"/>
      </w:r>
      <w:r>
        <w:t>.</w:t>
      </w:r>
    </w:p>
    <w:p w14:paraId="581CB09F" w14:textId="77777777" w:rsidR="009042C0" w:rsidRDefault="009042C0" w:rsidP="009042C0">
      <w:pPr>
        <w:pStyle w:val="EQ"/>
      </w:pPr>
      <w:r w:rsidRPr="00445DD4">
        <w:tab/>
      </w:r>
      <m:oMath>
        <m:sSup>
          <m:sSupPr>
            <m:ctrlPr>
              <w:rPr>
                <w:rFonts w:ascii="Cambria Math" w:hAnsi="Cambria Math"/>
              </w:rPr>
            </m:ctrlPr>
          </m:sSupPr>
          <m:e>
            <m:r>
              <w:rPr>
                <w:rFonts w:ascii="Cambria Math" w:hAnsi="Cambria Math"/>
              </w:rPr>
              <m:t>u</m:t>
            </m:r>
          </m:e>
          <m:sup>
            <m:r>
              <m:rPr>
                <m:sty m:val="p"/>
              </m:rPr>
              <w:rPr>
                <w:rFonts w:ascii="Cambria Math" w:hAnsi="Cambria Math"/>
              </w:rPr>
              <m:t>'</m:t>
            </m:r>
          </m:sup>
        </m:sSup>
        <m:r>
          <m:rPr>
            <m:sty m:val="p"/>
          </m:rPr>
          <w:rPr>
            <w:rFonts w:ascii="Cambria Math" w:hAnsi="Cambria Math"/>
          </w:rPr>
          <m:t>=</m:t>
        </m:r>
        <m:f>
          <m:fPr>
            <m:ctrlPr>
              <w:rPr>
                <w:rFonts w:ascii="Cambria Math" w:hAnsi="Cambria Math"/>
              </w:rPr>
            </m:ctrlPr>
          </m:fPr>
          <m:num>
            <m:r>
              <w:rPr>
                <w:rFonts w:ascii="Cambria Math" w:hAnsi="Cambria Math"/>
              </w:rPr>
              <m:t>α×</m:t>
            </m:r>
            <m:sSub>
              <m:sSubPr>
                <m:ctrlPr>
                  <w:rPr>
                    <w:rFonts w:ascii="Cambria Math" w:hAnsi="Cambria Math"/>
                    <w:i/>
                  </w:rPr>
                </m:ctrlPr>
              </m:sSubPr>
              <m:e>
                <m:r>
                  <m:rPr>
                    <m:nor/>
                  </m:rPr>
                  <w:rPr>
                    <w:rFonts w:ascii="Cambria Math" w:hAnsi="Cambria Math"/>
                  </w:rPr>
                  <m:t>f</m:t>
                </m:r>
              </m:e>
              <m:sub>
                <m:r>
                  <m:rPr>
                    <m:nor/>
                  </m:rPr>
                  <w:rPr>
                    <w:rFonts w:ascii="Cambria Math" w:hAnsi="Cambria Math"/>
                  </w:rPr>
                  <m:t>fn</m:t>
                </m:r>
              </m:sub>
            </m:sSub>
            <m:d>
              <m:dPr>
                <m:ctrlPr>
                  <w:rPr>
                    <w:rFonts w:ascii="Cambria Math" w:hAnsi="Cambria Math"/>
                    <w:i/>
                  </w:rPr>
                </m:ctrlPr>
              </m:dPr>
              <m:e>
                <m:r>
                  <w:rPr>
                    <w:rFonts w:ascii="Cambria Math" w:hAnsi="Cambria Math"/>
                  </w:rPr>
                  <m:t>N×u</m:t>
                </m:r>
              </m:e>
            </m:d>
          </m:num>
          <m:den>
            <m:r>
              <w:rPr>
                <w:rFonts w:ascii="Cambria Math" w:hAnsi="Cambria Math"/>
              </w:rPr>
              <m:t>τ</m:t>
            </m:r>
          </m:den>
        </m:f>
        <m:r>
          <w:rPr>
            <w:rFonts w:ascii="Cambria Math" w:hAnsi="Cambria Math"/>
          </w:rPr>
          <m:t>×</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N×u</m:t>
                </m:r>
              </m:e>
            </m:d>
            <m:r>
              <w:rPr>
                <w:rFonts w:ascii="Cambria Math" w:hAnsi="Cambria Math"/>
              </w:rPr>
              <m:t>-u</m:t>
            </m:r>
          </m:e>
        </m:d>
      </m:oMath>
      <w:r w:rsidRPr="00445DD4">
        <w:tab/>
        <w:t>(</w:t>
      </w:r>
      <w:bookmarkStart w:id="304" w:name="EQ_u_DEG"/>
      <w:r w:rsidRPr="00445DD4">
        <w:fldChar w:fldCharType="begin"/>
      </w:r>
      <w:r w:rsidRPr="00445DD4">
        <w:instrText xml:space="preserve"> SEQ Eq \* MERGEFORMAT </w:instrText>
      </w:r>
      <w:r w:rsidRPr="00445DD4">
        <w:fldChar w:fldCharType="separate"/>
      </w:r>
      <w:r>
        <w:t>18</w:t>
      </w:r>
      <w:r w:rsidRPr="00445DD4">
        <w:fldChar w:fldCharType="end"/>
      </w:r>
      <w:bookmarkEnd w:id="304"/>
      <w:r w:rsidRPr="00445DD4">
        <w:t>)</w:t>
      </w:r>
    </w:p>
    <w:p w14:paraId="5FB0A7A4" w14:textId="77777777" w:rsidR="009042C0" w:rsidRDefault="009042C0" w:rsidP="009042C0">
      <w:r>
        <w:t xml:space="preserve">By use of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also the time behaviour of the channel load</w:t>
      </w:r>
      <w:r w:rsidRPr="007B7AE4">
        <w:rPr>
          <w:i/>
        </w:rPr>
        <w:t xml:space="preserve"> </w:t>
      </w:r>
      <w:r>
        <w:rPr>
          <w:i/>
        </w:rPr>
        <w:t>CL</w:t>
      </w:r>
      <w:r w:rsidRPr="00C53B80">
        <w:t>(</w:t>
      </w:r>
      <w:r w:rsidRPr="00C53B80">
        <w:rPr>
          <w:i/>
        </w:rPr>
        <w:t>t</w:t>
      </w:r>
      <w:r w:rsidRPr="00C53B80">
        <w:t>)</w:t>
      </w:r>
      <w:r>
        <w:t xml:space="preserve"> can be obtained from equation </w:t>
      </w:r>
      <w:r>
        <w:fldChar w:fldCharType="begin"/>
      </w:r>
      <w:r>
        <w:instrText xml:space="preserve"> REF EQ_u_DEG \h </w:instrText>
      </w:r>
      <w:r>
        <w:fldChar w:fldCharType="separate"/>
      </w:r>
      <w:r>
        <w:rPr>
          <w:noProof/>
        </w:rPr>
        <w:t>18</w:t>
      </w:r>
      <w:r>
        <w:fldChar w:fldCharType="end"/>
      </w:r>
      <w:r>
        <w:t>.</w:t>
      </w:r>
    </w:p>
    <w:p w14:paraId="171C1D4A" w14:textId="77777777" w:rsidR="009042C0" w:rsidRDefault="009042C0" w:rsidP="009042C0">
      <w:pPr>
        <w:pStyle w:val="Heading3"/>
      </w:pPr>
      <w:bookmarkStart w:id="305" w:name="_Toc197337071"/>
      <w:r>
        <w:t>B.3.3</w:t>
      </w:r>
      <w:r>
        <w:tab/>
        <w:t>Convergence</w:t>
      </w:r>
      <w:bookmarkEnd w:id="305"/>
    </w:p>
    <w:p w14:paraId="2C9C6A23" w14:textId="77777777" w:rsidR="009042C0" w:rsidRDefault="009042C0" w:rsidP="009042C0">
      <w:r>
        <w:t>Even when equation </w:t>
      </w:r>
      <w:r>
        <w:fldChar w:fldCharType="begin"/>
      </w:r>
      <w:r>
        <w:instrText xml:space="preserve"> REF EQ_CL_equilibrium \h </w:instrText>
      </w:r>
      <w:r>
        <w:fldChar w:fldCharType="separate"/>
      </w:r>
      <w:r>
        <w:rPr>
          <w:noProof/>
        </w:rPr>
        <w:t>14</w:t>
      </w:r>
      <w:r>
        <w:fldChar w:fldCharType="end"/>
      </w:r>
      <w:r>
        <w:t xml:space="preserve"> has a solution for the equilibrium channel load </w:t>
      </w:r>
      <m:oMath>
        <m:acc>
          <m:accPr>
            <m:chr m:val="̃"/>
            <m:ctrlPr>
              <w:rPr>
                <w:rFonts w:ascii="Cambria Math" w:hAnsi="Cambria Math"/>
                <w:i/>
                <w:noProof/>
              </w:rPr>
            </m:ctrlPr>
          </m:accPr>
          <m:e>
            <m:r>
              <w:rPr>
                <w:rFonts w:ascii="Cambria Math" w:hAnsi="Cambria Math"/>
              </w:rPr>
              <m:t>CL</m:t>
            </m:r>
          </m:e>
        </m:acc>
      </m:oMath>
      <w:r>
        <w:t xml:space="preserve"> that lies within zero and one as given by the definition of the channel load, the controller might not converge to this equilibrium. This can be the case when the slope of the control characteristic is not monotonic towards the point of equilibrium. This could be caused by an ill formed control function with ripples in the slope, or when equation </w:t>
      </w:r>
      <w:r>
        <w:fldChar w:fldCharType="begin"/>
      </w:r>
      <w:r>
        <w:instrText xml:space="preserve"> REF EQ_CL_equilibrium \h </w:instrText>
      </w:r>
      <w:r>
        <w:fldChar w:fldCharType="separate"/>
      </w:r>
      <w:r>
        <w:rPr>
          <w:noProof/>
        </w:rPr>
        <w:t>14</w:t>
      </w:r>
      <w:r>
        <w:fldChar w:fldCharType="end"/>
      </w:r>
      <w:r>
        <w:t xml:space="preserve"> has more than one solution for </w:t>
      </w:r>
      <m:oMath>
        <m:acc>
          <m:accPr>
            <m:chr m:val="̃"/>
            <m:ctrlPr>
              <w:rPr>
                <w:rFonts w:ascii="Cambria Math" w:hAnsi="Cambria Math"/>
                <w:i/>
                <w:noProof/>
              </w:rPr>
            </m:ctrlPr>
          </m:accPr>
          <m:e>
            <m:r>
              <w:rPr>
                <w:rFonts w:ascii="Cambria Math" w:hAnsi="Cambria Math"/>
              </w:rPr>
              <m:t>CL</m:t>
            </m:r>
          </m:e>
        </m:acc>
      </m:oMath>
      <w:r>
        <w:t>.</w:t>
      </w:r>
    </w:p>
    <w:p w14:paraId="07A09AC8" w14:textId="77777777" w:rsidR="009042C0" w:rsidRDefault="009042C0" w:rsidP="009042C0">
      <w:r>
        <w:t>For convergence following criteria based on equation </w:t>
      </w:r>
      <w:r>
        <w:fldChar w:fldCharType="begin"/>
      </w:r>
      <w:r>
        <w:instrText xml:space="preserve"> REF EQ_delta_eq \h </w:instrText>
      </w:r>
      <w:r>
        <w:fldChar w:fldCharType="separate"/>
      </w:r>
      <w:r>
        <w:rPr>
          <w:noProof/>
        </w:rPr>
        <w:t>16</w:t>
      </w:r>
      <w:r>
        <w:fldChar w:fldCharType="end"/>
      </w:r>
      <w:r>
        <w:t xml:space="preserve"> should be met:</w:t>
      </w:r>
    </w:p>
    <w:p w14:paraId="375EAADF" w14:textId="77777777" w:rsidR="009042C0" w:rsidRDefault="009042C0" w:rsidP="009042C0">
      <w:pPr>
        <w:pStyle w:val="EQ"/>
      </w:pPr>
      <w:r>
        <w:tab/>
      </w:r>
      <m:oMath>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N×u</m:t>
                </m:r>
              </m:e>
            </m:d>
            <m:r>
              <w:rPr>
                <w:rFonts w:ascii="Cambria Math" w:hAnsi="Cambria Math"/>
              </w:rPr>
              <m:t xml:space="preserve">-u&lt;0 </m:t>
            </m:r>
            <m:r>
              <m:rPr>
                <m:nor/>
              </m:rPr>
              <w:rPr>
                <w:rFonts w:ascii="Cambria Math" w:hAnsi="Cambria Math"/>
              </w:rPr>
              <m:t>for</m:t>
            </m:r>
            <m:r>
              <w:rPr>
                <w:rFonts w:ascii="Cambria Math" w:hAnsi="Cambria Math"/>
              </w:rPr>
              <m:t xml:space="preserve"> 1&gt;u&gt;</m:t>
            </m:r>
            <m:acc>
              <m:accPr>
                <m:chr m:val="̃"/>
                <m:ctrlPr>
                  <w:rPr>
                    <w:rFonts w:ascii="Cambria Math" w:hAnsi="Cambria Math"/>
                    <w:i/>
                  </w:rPr>
                </m:ctrlPr>
              </m:accPr>
              <m:e>
                <m:r>
                  <w:rPr>
                    <w:rFonts w:ascii="Cambria Math" w:hAnsi="Cambria Math"/>
                  </w:rPr>
                  <m:t>u</m:t>
                </m:r>
              </m:e>
            </m:acc>
          </m:e>
        </m:d>
        <m:r>
          <w:rPr>
            <w:rFonts w:ascii="Cambria Math" w:hAnsi="Cambria Math"/>
          </w:rPr>
          <m:t xml:space="preserve"> </m:t>
        </m:r>
        <m:r>
          <m:rPr>
            <m:nor/>
          </m:rPr>
          <w:rPr>
            <w:rFonts w:ascii="Cambria Math" w:hAnsi="Cambria Math"/>
          </w:rPr>
          <m:t xml:space="preserve">and </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N×u</m:t>
                </m:r>
              </m:e>
            </m:d>
            <m:r>
              <w:rPr>
                <w:rFonts w:ascii="Cambria Math" w:hAnsi="Cambria Math"/>
              </w:rPr>
              <m:t xml:space="preserve">-u&gt;0 </m:t>
            </m:r>
            <m:r>
              <m:rPr>
                <m:nor/>
              </m:rPr>
              <w:rPr>
                <w:rFonts w:ascii="Cambria Math" w:hAnsi="Cambria Math"/>
              </w:rPr>
              <m:t>for</m:t>
            </m:r>
            <m:r>
              <w:rPr>
                <w:rFonts w:ascii="Cambria Math" w:hAnsi="Cambria Math"/>
              </w:rPr>
              <m:t xml:space="preserve"> 0&lt;u&lt;</m:t>
            </m:r>
            <m:acc>
              <m:accPr>
                <m:chr m:val="̃"/>
                <m:ctrlPr>
                  <w:rPr>
                    <w:rFonts w:ascii="Cambria Math" w:hAnsi="Cambria Math"/>
                    <w:i/>
                  </w:rPr>
                </m:ctrlPr>
              </m:accPr>
              <m:e>
                <m:r>
                  <w:rPr>
                    <w:rFonts w:ascii="Cambria Math" w:hAnsi="Cambria Math"/>
                  </w:rPr>
                  <m:t>u</m:t>
                </m:r>
              </m:e>
            </m:acc>
          </m:e>
        </m:d>
      </m:oMath>
      <w:r w:rsidRPr="00445DD4">
        <w:tab/>
        <w:t>(</w:t>
      </w:r>
      <w:bookmarkStart w:id="306" w:name="EQ_convergence_criteria"/>
      <w:r w:rsidRPr="00445DD4">
        <w:fldChar w:fldCharType="begin"/>
      </w:r>
      <w:r w:rsidRPr="00445DD4">
        <w:instrText xml:space="preserve"> SEQ Eq \* MERGEFORMAT </w:instrText>
      </w:r>
      <w:r w:rsidRPr="00445DD4">
        <w:fldChar w:fldCharType="separate"/>
      </w:r>
      <w:r>
        <w:t>19</w:t>
      </w:r>
      <w:r w:rsidRPr="00445DD4">
        <w:fldChar w:fldCharType="end"/>
      </w:r>
      <w:bookmarkEnd w:id="306"/>
      <w:r w:rsidRPr="00445DD4">
        <w:t>)</w:t>
      </w:r>
    </w:p>
    <w:p w14:paraId="45CDFA0A" w14:textId="77777777" w:rsidR="009042C0" w:rsidRDefault="009042C0" w:rsidP="009042C0">
      <w:r>
        <w:t xml:space="preserve">Where </w:t>
      </w:r>
      <m:oMath>
        <m:acc>
          <m:accPr>
            <m:chr m:val="̃"/>
            <m:ctrlPr>
              <w:rPr>
                <w:rFonts w:ascii="Cambria Math" w:hAnsi="Cambria Math"/>
                <w:i/>
                <w:noProof/>
              </w:rPr>
            </m:ctrlPr>
          </m:accPr>
          <m:e>
            <m:r>
              <w:rPr>
                <w:rFonts w:ascii="Cambria Math" w:hAnsi="Cambria Math"/>
              </w:rPr>
              <m:t>u</m:t>
            </m:r>
          </m:e>
        </m:acc>
      </m:oMath>
      <w:r>
        <w:t xml:space="preserve"> is the controller equilibrium as calculated from </w:t>
      </w:r>
      <w:r w:rsidRPr="00C53B80">
        <w:t>equation </w:t>
      </w:r>
      <w:r>
        <w:fldChar w:fldCharType="begin"/>
      </w:r>
      <w:r>
        <w:instrText xml:space="preserve"> REF EQ_u_equilibrium \h </w:instrText>
      </w:r>
      <w:r>
        <w:fldChar w:fldCharType="separate"/>
      </w:r>
      <w:r>
        <w:rPr>
          <w:noProof/>
        </w:rPr>
        <w:t>5</w:t>
      </w:r>
      <w:r>
        <w:fldChar w:fldCharType="end"/>
      </w:r>
      <w:r>
        <w:t xml:space="preserve"> an equation </w:t>
      </w:r>
      <w:r>
        <w:fldChar w:fldCharType="begin"/>
      </w:r>
      <w:r>
        <w:instrText xml:space="preserve"> REF EQ_CL_equilibrium \h </w:instrText>
      </w:r>
      <w:r>
        <w:fldChar w:fldCharType="separate"/>
      </w:r>
      <w:r>
        <w:rPr>
          <w:noProof/>
        </w:rPr>
        <w:t>14</w:t>
      </w:r>
      <w:r>
        <w:fldChar w:fldCharType="end"/>
      </w:r>
      <w:r>
        <w:t>.</w:t>
      </w:r>
    </w:p>
    <w:p w14:paraId="09FE20FC" w14:textId="77777777" w:rsidR="009042C0" w:rsidRDefault="009042C0" w:rsidP="009042C0">
      <w:pPr>
        <w:pStyle w:val="Heading3"/>
      </w:pPr>
      <w:bookmarkStart w:id="307" w:name="CLS_Continous_time_stability"/>
      <w:bookmarkStart w:id="308" w:name="_Toc197337072"/>
      <w:r>
        <w:t>B.3.4</w:t>
      </w:r>
      <w:bookmarkEnd w:id="307"/>
      <w:r>
        <w:tab/>
        <w:t>Continuous-time stability</w:t>
      </w:r>
      <w:bookmarkEnd w:id="308"/>
    </w:p>
    <w:p w14:paraId="754424BB" w14:textId="77777777" w:rsidR="009042C0" w:rsidRDefault="009042C0" w:rsidP="009042C0">
      <w:r>
        <w:t>The convergence criteria given by equation </w:t>
      </w:r>
      <w:r>
        <w:fldChar w:fldCharType="begin"/>
      </w:r>
      <w:r>
        <w:instrText xml:space="preserve"> REF EQ_convergence_criteria \h </w:instrText>
      </w:r>
      <w:r>
        <w:fldChar w:fldCharType="separate"/>
      </w:r>
      <w:r>
        <w:rPr>
          <w:noProof/>
        </w:rPr>
        <w:t>19</w:t>
      </w:r>
      <w:r>
        <w:fldChar w:fldCharType="end"/>
      </w:r>
      <w:r>
        <w:t xml:space="preserve"> are not sufficient to guarantee a stable control loop. Only when in addition the solution of differential equation </w:t>
      </w:r>
      <w:r>
        <w:fldChar w:fldCharType="begin"/>
      </w:r>
      <w:r>
        <w:instrText xml:space="preserve"> REF EQ_u_DEG \h </w:instrText>
      </w:r>
      <w:r>
        <w:fldChar w:fldCharType="separate"/>
      </w:r>
      <w:r>
        <w:rPr>
          <w:noProof/>
        </w:rPr>
        <w:t>18</w:t>
      </w:r>
      <w:r>
        <w:fldChar w:fldCharType="end"/>
      </w:r>
      <w:r>
        <w:t xml:space="preserve"> shows at least a decaying oscillation, or even no oscillation, for the channel utilisation </w:t>
      </w:r>
      <w:r w:rsidRPr="00C53B80">
        <w:rPr>
          <w:i/>
        </w:rPr>
        <w:t>u</w:t>
      </w:r>
      <w:r w:rsidRPr="00C53B80">
        <w:t>(</w:t>
      </w:r>
      <w:r w:rsidRPr="00C53B80">
        <w:rPr>
          <w:i/>
        </w:rPr>
        <w:t>t</w:t>
      </w:r>
      <w:r w:rsidRPr="00C53B80">
        <w:t>)</w:t>
      </w:r>
      <w:r>
        <w:t xml:space="preserve"> within a given range of node numbers </w:t>
      </w:r>
      <w:r w:rsidRPr="00673D02">
        <w:rPr>
          <w:i/>
        </w:rPr>
        <w:t>N</w:t>
      </w:r>
      <w:r w:rsidRPr="00673D02">
        <w:t xml:space="preserve"> and fo</w:t>
      </w:r>
      <w:r>
        <w:t>r all starting values 0&lt;</w:t>
      </w:r>
      <w:r w:rsidRPr="00C53B80">
        <w:rPr>
          <w:i/>
        </w:rPr>
        <w:t>u</w:t>
      </w:r>
      <w:r w:rsidRPr="00C53B80">
        <w:t>(</w:t>
      </w:r>
      <w:r w:rsidRPr="00C53B80">
        <w:rPr>
          <w:i/>
        </w:rPr>
        <w:t>t</w:t>
      </w:r>
      <w:r w:rsidRPr="00673D02">
        <w:rPr>
          <w:i/>
          <w:vertAlign w:val="subscript"/>
        </w:rPr>
        <w:t>0</w:t>
      </w:r>
      <w:r w:rsidRPr="00C53B80">
        <w:t>)</w:t>
      </w:r>
      <w:r>
        <w:t xml:space="preserve">&lt;1, the continuous-time control loop is stable for this range of </w:t>
      </w:r>
      <w:r>
        <w:rPr>
          <w:i/>
        </w:rPr>
        <w:t>N</w:t>
      </w:r>
      <w:r>
        <w:t>.</w:t>
      </w:r>
    </w:p>
    <w:p w14:paraId="52421B2F" w14:textId="77777777" w:rsidR="009042C0" w:rsidRPr="000F35B2" w:rsidRDefault="009042C0" w:rsidP="009042C0">
      <w:pPr>
        <w:pStyle w:val="Heading3"/>
      </w:pPr>
      <w:bookmarkStart w:id="309" w:name="_Toc197337073"/>
      <w:r>
        <w:t>B.3.5</w:t>
      </w:r>
      <w:r>
        <w:tab/>
        <w:t>Discrete-time Stability</w:t>
      </w:r>
      <w:bookmarkEnd w:id="309"/>
    </w:p>
    <w:p w14:paraId="4D19C0A7" w14:textId="77777777" w:rsidR="009042C0" w:rsidRDefault="009042C0" w:rsidP="009042C0">
      <w:r>
        <w:t xml:space="preserve">Since the congestion control is implemented as controller that measures the channel load </w:t>
      </w:r>
      <w:r w:rsidRPr="00673D02">
        <w:rPr>
          <w:i/>
        </w:rPr>
        <w:t>CL</w:t>
      </w:r>
      <w:r>
        <w:t xml:space="preserve"> and changes the channel utilization </w:t>
      </w:r>
      <w:r w:rsidRPr="00673D02">
        <w:rPr>
          <w:i/>
        </w:rPr>
        <w:t>u</w:t>
      </w:r>
      <w:r>
        <w:rPr>
          <w:i/>
          <w:vertAlign w:val="subscript"/>
        </w:rPr>
        <w:t>max</w:t>
      </w:r>
      <w:r>
        <w:t xml:space="preserve"> repeatedly after discrete-time intervals </w:t>
      </w:r>
      <w:r w:rsidRPr="004F547E">
        <w:rPr>
          <w:i/>
        </w:rPr>
        <w:t>τ</w:t>
      </w:r>
      <w:r>
        <w:rPr>
          <w:i/>
        </w:rPr>
        <w:t xml:space="preserve">, </w:t>
      </w:r>
      <w:r>
        <w:t>the continuous-time stability as given in clause </w:t>
      </w:r>
      <w:r>
        <w:fldChar w:fldCharType="begin"/>
      </w:r>
      <w:r>
        <w:instrText xml:space="preserve"> REF CLS_Continous_time_stability \h </w:instrText>
      </w:r>
      <w:r>
        <w:fldChar w:fldCharType="separate"/>
      </w:r>
      <w:r>
        <w:t>B.3.4</w:t>
      </w:r>
      <w:r>
        <w:fldChar w:fldCharType="end"/>
      </w:r>
      <w:r>
        <w:t xml:space="preserve"> is a necessary ,but not sufficient criteria for the stability of the control loop. </w:t>
      </w:r>
    </w:p>
    <w:p w14:paraId="700093B1" w14:textId="77777777" w:rsidR="009042C0" w:rsidRDefault="009042C0" w:rsidP="009042C0">
      <w:r>
        <w:t xml:space="preserve">When the continuous time solution converges for all stations to the same stable value </w:t>
      </w:r>
      <m:oMath>
        <m:acc>
          <m:accPr>
            <m:chr m:val="̃"/>
            <m:ctrlPr>
              <w:rPr>
                <w:rFonts w:ascii="Cambria Math" w:hAnsi="Cambria Math"/>
                <w:i/>
                <w:noProof/>
              </w:rPr>
            </m:ctrlPr>
          </m:accPr>
          <m:e>
            <m:r>
              <w:rPr>
                <w:rFonts w:ascii="Cambria Math" w:hAnsi="Cambria Math"/>
              </w:rPr>
              <m:t>u</m:t>
            </m:r>
          </m:e>
        </m:acc>
      </m:oMath>
      <w:r>
        <w:t xml:space="preserve"> (see equation </w:t>
      </w:r>
      <w:r>
        <w:fldChar w:fldCharType="begin"/>
      </w:r>
      <w:r>
        <w:instrText xml:space="preserve"> REF EQ_u_equilibrium \h </w:instrText>
      </w:r>
      <w:r>
        <w:fldChar w:fldCharType="separate"/>
      </w:r>
      <w:r>
        <w:rPr>
          <w:noProof/>
        </w:rPr>
        <w:t>5</w:t>
      </w:r>
      <w:r>
        <w:fldChar w:fldCharType="end"/>
      </w:r>
      <w:r>
        <w:t xml:space="preserve">), the discrete-time controller can be unstable when </w:t>
      </w:r>
      <w:r w:rsidRPr="00C53B80">
        <w:rPr>
          <w:i/>
        </w:rPr>
        <w:t>u</w:t>
      </w:r>
      <w:r w:rsidRPr="00C53B80">
        <w:t>(</w:t>
      </w:r>
      <w:r w:rsidRPr="00C53B80">
        <w:rPr>
          <w:i/>
        </w:rPr>
        <w:t>t</w:t>
      </w:r>
      <w:r w:rsidRPr="00C53B80">
        <w:t>)</w:t>
      </w:r>
      <w:r>
        <w:t xml:space="preserve"> changes in one time step within an interval of </w:t>
      </w:r>
      <w:r w:rsidRPr="004F547E">
        <w:rPr>
          <w:i/>
        </w:rPr>
        <w:t>τ</w:t>
      </w:r>
      <w:r>
        <w:t xml:space="preserve"> by at least twice the distance to </w:t>
      </w:r>
      <m:oMath>
        <m:acc>
          <m:accPr>
            <m:chr m:val="̃"/>
            <m:ctrlPr>
              <w:rPr>
                <w:rFonts w:ascii="Cambria Math" w:hAnsi="Cambria Math"/>
                <w:i/>
                <w:noProof/>
              </w:rPr>
            </m:ctrlPr>
          </m:accPr>
          <m:e>
            <m:r>
              <w:rPr>
                <w:rFonts w:ascii="Cambria Math" w:hAnsi="Cambria Math"/>
              </w:rPr>
              <m:t>u</m:t>
            </m:r>
          </m:e>
        </m:acc>
      </m:oMath>
      <w:r>
        <w:t xml:space="preserve"> (overshoot). The </w:t>
      </w:r>
      <w:r w:rsidRPr="00C53B80">
        <w:rPr>
          <w:i/>
        </w:rPr>
        <w:t>u</w:t>
      </w:r>
      <w:r w:rsidRPr="00C53B80">
        <w:t>(</w:t>
      </w:r>
      <w:r w:rsidRPr="00C53B80">
        <w:rPr>
          <w:i/>
        </w:rPr>
        <w:t>t</w:t>
      </w:r>
      <w:r w:rsidRPr="00C53B80">
        <w:t>)</w:t>
      </w:r>
      <w:r>
        <w:t xml:space="preserve"> change over one time step with a duration of </w:t>
      </w:r>
      <w:r w:rsidRPr="004F547E">
        <w:rPr>
          <w:i/>
        </w:rPr>
        <w:t>τ</w:t>
      </w:r>
      <w:r>
        <w:t xml:space="preserve"> equals </w:t>
      </w:r>
      <m:oMath>
        <m:sSup>
          <m:sSupPr>
            <m:ctrlPr>
              <w:rPr>
                <w:rFonts w:ascii="Cambria Math" w:hAnsi="Cambria Math"/>
                <w:i/>
              </w:rPr>
            </m:ctrlPr>
          </m:sSupPr>
          <m:e>
            <m:r>
              <w:rPr>
                <w:rFonts w:ascii="Cambria Math" w:hAnsi="Cambria Math"/>
              </w:rPr>
              <m:t>u</m:t>
            </m:r>
          </m:e>
          <m:sup>
            <m:r>
              <w:rPr>
                <w:rFonts w:ascii="Cambria Math" w:hAnsi="Cambria Math"/>
              </w:rPr>
              <m:t>'</m:t>
            </m:r>
          </m:sup>
        </m:sSup>
        <m:d>
          <m:dPr>
            <m:ctrlPr>
              <w:rPr>
                <w:rFonts w:ascii="Cambria Math" w:hAnsi="Cambria Math"/>
                <w:i/>
              </w:rPr>
            </m:ctrlPr>
          </m:dPr>
          <m:e>
            <m:r>
              <w:rPr>
                <w:rFonts w:ascii="Cambria Math" w:hAnsi="Cambria Math"/>
              </w:rPr>
              <m:t>t</m:t>
            </m:r>
          </m:e>
        </m:d>
        <m:r>
          <w:rPr>
            <w:rFonts w:ascii="Cambria Math" w:hAnsi="Cambria Math"/>
          </w:rPr>
          <m:t>×τ</m:t>
        </m:r>
      </m:oMath>
      <w:r>
        <w:t xml:space="preserve">. Where </w:t>
      </w:r>
      <m:oMath>
        <m:sSup>
          <m:sSupPr>
            <m:ctrlPr>
              <w:rPr>
                <w:rFonts w:ascii="Cambria Math" w:hAnsi="Cambria Math"/>
                <w:i/>
              </w:rPr>
            </m:ctrlPr>
          </m:sSupPr>
          <m:e>
            <m:r>
              <w:rPr>
                <w:rFonts w:ascii="Cambria Math" w:hAnsi="Cambria Math"/>
              </w:rPr>
              <m:t>u</m:t>
            </m:r>
          </m:e>
          <m:sup>
            <m:r>
              <w:rPr>
                <w:rFonts w:ascii="Cambria Math" w:hAnsi="Cambria Math"/>
              </w:rPr>
              <m:t>'</m:t>
            </m:r>
          </m:sup>
        </m:sSup>
        <m:d>
          <m:dPr>
            <m:ctrlPr>
              <w:rPr>
                <w:rFonts w:ascii="Cambria Math" w:hAnsi="Cambria Math"/>
                <w:i/>
              </w:rPr>
            </m:ctrlPr>
          </m:dPr>
          <m:e>
            <m:r>
              <w:rPr>
                <w:rFonts w:ascii="Cambria Math" w:hAnsi="Cambria Math"/>
              </w:rPr>
              <m:t>t</m:t>
            </m:r>
          </m:e>
        </m:d>
      </m:oMath>
      <w:r>
        <w:t xml:space="preserve"> is the slope of the </w:t>
      </w:r>
      <w:r w:rsidRPr="00C53B80">
        <w:rPr>
          <w:i/>
        </w:rPr>
        <w:t>u</w:t>
      </w:r>
      <w:r w:rsidRPr="00C53B80">
        <w:t>(</w:t>
      </w:r>
      <w:r w:rsidRPr="00C53B80">
        <w:rPr>
          <w:i/>
        </w:rPr>
        <w:t>t</w:t>
      </w:r>
      <w:r w:rsidRPr="00C53B80">
        <w:t>)</w:t>
      </w:r>
      <w:r>
        <w:t xml:space="preserve"> function at the time </w:t>
      </w:r>
      <w:r>
        <w:rPr>
          <w:i/>
        </w:rPr>
        <w:t>t</w:t>
      </w:r>
      <w:r>
        <w:t xml:space="preserve">. From this, the discrete time realization for a controller that overshoots </w:t>
      </w:r>
      <m:oMath>
        <m:acc>
          <m:accPr>
            <m:chr m:val="̃"/>
            <m:ctrlPr>
              <w:rPr>
                <w:rFonts w:ascii="Cambria Math" w:hAnsi="Cambria Math"/>
                <w:i/>
                <w:noProof/>
              </w:rPr>
            </m:ctrlPr>
          </m:accPr>
          <m:e>
            <m:r>
              <w:rPr>
                <w:rFonts w:ascii="Cambria Math" w:hAnsi="Cambria Math"/>
              </w:rPr>
              <m:t>u</m:t>
            </m:r>
          </m:e>
        </m:acc>
      </m:oMath>
      <w:r>
        <w:t xml:space="preserve"> is stable when equation </w:t>
      </w:r>
      <w:r>
        <w:fldChar w:fldCharType="begin"/>
      </w:r>
      <w:r>
        <w:instrText xml:space="preserve"> REF EQ_discrete_time_stability \h </w:instrText>
      </w:r>
      <w:r>
        <w:fldChar w:fldCharType="separate"/>
      </w:r>
      <w:r>
        <w:rPr>
          <w:noProof/>
        </w:rPr>
        <w:t>20</w:t>
      </w:r>
      <w:r>
        <w:fldChar w:fldCharType="end"/>
      </w:r>
      <w:r>
        <w:t xml:space="preserve"> is fulfilled for all t </w:t>
      </w:r>
      <w:r>
        <w:sym w:font="Symbol" w:char="F0B3"/>
      </w:r>
      <w:r>
        <w:t xml:space="preserve"> 0 within a given range of node numbers </w:t>
      </w:r>
      <w:r w:rsidRPr="00B261BB">
        <w:rPr>
          <w:i/>
        </w:rPr>
        <w:t>N</w:t>
      </w:r>
      <w:r w:rsidRPr="00B261BB">
        <w:t xml:space="preserve"> </w:t>
      </w:r>
      <w:r>
        <w:t xml:space="preserve">and </w:t>
      </w:r>
      <w:r w:rsidRPr="00B261BB">
        <w:t>fo</w:t>
      </w:r>
      <w:r>
        <w:t>r all starting values 0&lt;</w:t>
      </w:r>
      <w:r w:rsidRPr="00C53B80">
        <w:rPr>
          <w:i/>
        </w:rPr>
        <w:t>u</w:t>
      </w:r>
      <w:r w:rsidRPr="00C53B80">
        <w:t>(</w:t>
      </w:r>
      <w:r w:rsidRPr="00C53B80">
        <w:rPr>
          <w:i/>
        </w:rPr>
        <w:t>t</w:t>
      </w:r>
      <w:r w:rsidRPr="00B261BB">
        <w:rPr>
          <w:i/>
          <w:vertAlign w:val="subscript"/>
        </w:rPr>
        <w:t>0</w:t>
      </w:r>
      <w:r w:rsidRPr="00C53B80">
        <w:t>)</w:t>
      </w:r>
      <w:r>
        <w:t>&lt;1.</w:t>
      </w:r>
    </w:p>
    <w:p w14:paraId="612EE303" w14:textId="77777777" w:rsidR="009042C0" w:rsidRPr="00445DD4" w:rsidRDefault="009042C0" w:rsidP="009042C0">
      <w:pPr>
        <w:pStyle w:val="EQ"/>
      </w:pPr>
      <w:r w:rsidRPr="00445DD4">
        <w:tab/>
      </w:r>
      <m:oMath>
        <m:r>
          <w:rPr>
            <w:rFonts w:ascii="Cambria Math" w:hAnsi="Cambria Math"/>
          </w:rPr>
          <m:t>τ×</m:t>
        </m:r>
        <m:d>
          <m:dPr>
            <m:begChr m:val="|"/>
            <m:endChr m:val="|"/>
            <m:ctrlPr>
              <w:rPr>
                <w:rFonts w:ascii="Cambria Math" w:hAnsi="Cambria Math"/>
                <w:i/>
                <w:noProof w:val="0"/>
              </w:rPr>
            </m:ctrlPr>
          </m:dPr>
          <m:e>
            <m:r>
              <w:rPr>
                <w:rFonts w:ascii="Cambria Math" w:hAnsi="Cambria Math"/>
              </w:rPr>
              <m:t>u'</m:t>
            </m:r>
            <m:d>
              <m:dPr>
                <m:ctrlPr>
                  <w:rPr>
                    <w:rFonts w:ascii="Cambria Math" w:hAnsi="Cambria Math"/>
                    <w:i/>
                    <w:noProof w:val="0"/>
                  </w:rPr>
                </m:ctrlPr>
              </m:dPr>
              <m:e>
                <m:r>
                  <w:rPr>
                    <w:rFonts w:ascii="Cambria Math" w:hAnsi="Cambria Math"/>
                  </w:rPr>
                  <m:t>t</m:t>
                </m:r>
              </m:e>
            </m:d>
          </m:e>
        </m:d>
        <m:r>
          <w:rPr>
            <w:rFonts w:ascii="Cambria Math" w:hAnsi="Cambria Math"/>
          </w:rPr>
          <m:t>&lt;2×</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rPr>
                  <m:t>u</m:t>
                </m:r>
              </m:e>
            </m:acc>
            <m:r>
              <w:rPr>
                <w:rFonts w:ascii="Cambria Math" w:hAnsi="Cambria Math"/>
              </w:rPr>
              <m:t>-u</m:t>
            </m:r>
            <m:d>
              <m:dPr>
                <m:ctrlPr>
                  <w:rPr>
                    <w:rFonts w:ascii="Cambria Math" w:hAnsi="Cambria Math"/>
                    <w:i/>
                    <w:noProof w:val="0"/>
                  </w:rPr>
                </m:ctrlPr>
              </m:dPr>
              <m:e>
                <m:r>
                  <w:rPr>
                    <w:rFonts w:ascii="Cambria Math" w:hAnsi="Cambria Math"/>
                  </w:rPr>
                  <m:t>t</m:t>
                </m:r>
              </m:e>
            </m:d>
          </m:e>
        </m:d>
      </m:oMath>
      <w:r w:rsidRPr="00445DD4">
        <w:tab/>
        <w:t>(</w:t>
      </w:r>
      <w:bookmarkStart w:id="310" w:name="EQ_discrete_time_stability"/>
      <w:r w:rsidRPr="00445DD4">
        <w:fldChar w:fldCharType="begin"/>
      </w:r>
      <w:r w:rsidRPr="00445DD4">
        <w:instrText xml:space="preserve"> SEQ Eq \* MERGEFORMAT </w:instrText>
      </w:r>
      <w:r w:rsidRPr="00445DD4">
        <w:fldChar w:fldCharType="separate"/>
      </w:r>
      <w:r>
        <w:t>20</w:t>
      </w:r>
      <w:r w:rsidRPr="00445DD4">
        <w:fldChar w:fldCharType="end"/>
      </w:r>
      <w:bookmarkEnd w:id="310"/>
      <w:r w:rsidRPr="00445DD4">
        <w:t>)</w:t>
      </w:r>
    </w:p>
    <w:p w14:paraId="5EC7D1B7" w14:textId="77777777" w:rsidR="009042C0" w:rsidRDefault="009042C0" w:rsidP="009042C0">
      <w:r>
        <w:t xml:space="preserve">This implies that a discrete time controller is also stable when the channel utilization does not overshoot the controller equilibrium </w:t>
      </w:r>
      <m:oMath>
        <m:acc>
          <m:accPr>
            <m:chr m:val="̃"/>
            <m:ctrlPr>
              <w:rPr>
                <w:rFonts w:ascii="Cambria Math" w:hAnsi="Cambria Math"/>
                <w:i/>
              </w:rPr>
            </m:ctrlPr>
          </m:accPr>
          <m:e>
            <m:r>
              <w:rPr>
                <w:rFonts w:ascii="Cambria Math" w:hAnsi="Cambria Math"/>
              </w:rPr>
              <m:t>u</m:t>
            </m:r>
          </m:e>
        </m:acc>
      </m:oMath>
      <w:r>
        <w:t xml:space="preserve"> as expressed by equation </w:t>
      </w:r>
      <w:r>
        <w:fldChar w:fldCharType="begin"/>
      </w:r>
      <w:r>
        <w:instrText xml:space="preserve"> REF EQ_discrete_time_no_overshoot \h </w:instrText>
      </w:r>
      <w:r>
        <w:fldChar w:fldCharType="separate"/>
      </w:r>
      <w:r>
        <w:rPr>
          <w:noProof/>
        </w:rPr>
        <w:t>21</w:t>
      </w:r>
      <w:r>
        <w:fldChar w:fldCharType="end"/>
      </w:r>
      <w:r>
        <w:t>.</w:t>
      </w:r>
      <w:r w:rsidRPr="001E4E0C">
        <w:t xml:space="preserve"> When equation </w:t>
      </w:r>
      <w:r w:rsidRPr="001E4E0C">
        <w:fldChar w:fldCharType="begin"/>
      </w:r>
      <w:r w:rsidRPr="001E4E0C">
        <w:instrText xml:space="preserve"> REF EQ_discrete_time_no_overshoot \h </w:instrText>
      </w:r>
      <w:r w:rsidRPr="0045640B">
        <w:instrText xml:space="preserve"> \* MERGEFORMAT </w:instrText>
      </w:r>
      <w:r w:rsidRPr="001E4E0C">
        <w:fldChar w:fldCharType="separate"/>
      </w:r>
      <w:r>
        <w:rPr>
          <w:noProof/>
        </w:rPr>
        <w:t>21</w:t>
      </w:r>
      <w:r w:rsidRPr="001E4E0C">
        <w:fldChar w:fldCharType="end"/>
      </w:r>
      <w:r w:rsidRPr="001E4E0C">
        <w:t xml:space="preserve"> is met, the controller shows a favourable behaviour without discrete time oscillations.</w:t>
      </w:r>
    </w:p>
    <w:p w14:paraId="32C53B57" w14:textId="77777777" w:rsidR="009042C0" w:rsidRPr="00445DD4" w:rsidRDefault="009042C0" w:rsidP="009042C0">
      <w:pPr>
        <w:pStyle w:val="EQ"/>
      </w:pPr>
      <w:r w:rsidRPr="00445DD4">
        <w:tab/>
      </w:r>
      <m:oMath>
        <m:r>
          <w:rPr>
            <w:rFonts w:ascii="Cambria Math" w:hAnsi="Cambria Math"/>
          </w:rPr>
          <m:t>τ×</m:t>
        </m:r>
        <m:d>
          <m:dPr>
            <m:begChr m:val="|"/>
            <m:endChr m:val="|"/>
            <m:ctrlPr>
              <w:rPr>
                <w:rFonts w:ascii="Cambria Math" w:hAnsi="Cambria Math"/>
                <w:i/>
                <w:noProof w:val="0"/>
              </w:rPr>
            </m:ctrlPr>
          </m:dPr>
          <m:e>
            <m:r>
              <w:rPr>
                <w:rFonts w:ascii="Cambria Math" w:hAnsi="Cambria Math"/>
              </w:rPr>
              <m:t>u'</m:t>
            </m:r>
            <m:d>
              <m:dPr>
                <m:ctrlPr>
                  <w:rPr>
                    <w:rFonts w:ascii="Cambria Math" w:hAnsi="Cambria Math"/>
                    <w:i/>
                    <w:noProof w:val="0"/>
                  </w:rPr>
                </m:ctrlPr>
              </m:dPr>
              <m:e>
                <m:r>
                  <w:rPr>
                    <w:rFonts w:ascii="Cambria Math" w:hAnsi="Cambria Math"/>
                  </w:rPr>
                  <m:t>t</m:t>
                </m:r>
              </m:e>
            </m:d>
          </m:e>
        </m:d>
        <m:r>
          <w:rPr>
            <w:rFonts w:ascii="Cambria Math" w:hAnsi="Cambria Math"/>
          </w:rPr>
          <m:t>≤</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rPr>
                  <m:t>u</m:t>
                </m:r>
              </m:e>
            </m:acc>
            <m:r>
              <w:rPr>
                <w:rFonts w:ascii="Cambria Math" w:hAnsi="Cambria Math"/>
              </w:rPr>
              <m:t>-u</m:t>
            </m:r>
            <m:d>
              <m:dPr>
                <m:ctrlPr>
                  <w:rPr>
                    <w:rFonts w:ascii="Cambria Math" w:hAnsi="Cambria Math"/>
                    <w:i/>
                    <w:noProof w:val="0"/>
                  </w:rPr>
                </m:ctrlPr>
              </m:dPr>
              <m:e>
                <m:r>
                  <w:rPr>
                    <w:rFonts w:ascii="Cambria Math" w:hAnsi="Cambria Math"/>
                  </w:rPr>
                  <m:t>t</m:t>
                </m:r>
              </m:e>
            </m:d>
          </m:e>
        </m:d>
      </m:oMath>
      <w:r w:rsidRPr="00445DD4">
        <w:tab/>
        <w:t>(</w:t>
      </w:r>
      <w:bookmarkStart w:id="311" w:name="EQ_discrete_time_no_overshoot"/>
      <w:r w:rsidRPr="00445DD4">
        <w:fldChar w:fldCharType="begin"/>
      </w:r>
      <w:r w:rsidRPr="00445DD4">
        <w:instrText xml:space="preserve"> SEQ Eq \* MERGEFORMAT </w:instrText>
      </w:r>
      <w:r w:rsidRPr="00445DD4">
        <w:fldChar w:fldCharType="separate"/>
      </w:r>
      <w:r>
        <w:t>21</w:t>
      </w:r>
      <w:r w:rsidRPr="00445DD4">
        <w:fldChar w:fldCharType="end"/>
      </w:r>
      <w:bookmarkEnd w:id="311"/>
      <w:r w:rsidRPr="00445DD4">
        <w:t>)</w:t>
      </w:r>
    </w:p>
    <w:p w14:paraId="5382349F" w14:textId="77777777" w:rsidR="009042C0" w:rsidRDefault="009042C0" w:rsidP="009042C0">
      <w:r>
        <w:t xml:space="preserve">Since </w:t>
      </w:r>
      <w:r w:rsidRPr="00673D02">
        <w:rPr>
          <w:i/>
        </w:rPr>
        <w:t>τ</w:t>
      </w:r>
      <w:r>
        <w:t xml:space="preserve"> is always positive, equation </w:t>
      </w:r>
      <w:r>
        <w:fldChar w:fldCharType="begin"/>
      </w:r>
      <w:r>
        <w:instrText xml:space="preserve"> REF EQ_discrete_time_stability \h </w:instrText>
      </w:r>
      <w:r>
        <w:fldChar w:fldCharType="separate"/>
      </w:r>
      <w:r>
        <w:rPr>
          <w:noProof/>
        </w:rPr>
        <w:t>20</w:t>
      </w:r>
      <w:r>
        <w:fldChar w:fldCharType="end"/>
      </w:r>
      <w:r>
        <w:t xml:space="preserve"> and equation </w:t>
      </w:r>
      <w:r>
        <w:fldChar w:fldCharType="begin"/>
      </w:r>
      <w:r>
        <w:instrText xml:space="preserve"> REF EQ_u_DEG \h </w:instrText>
      </w:r>
      <w:r>
        <w:fldChar w:fldCharType="separate"/>
      </w:r>
      <w:r>
        <w:rPr>
          <w:noProof/>
        </w:rPr>
        <w:t>18</w:t>
      </w:r>
      <w:r>
        <w:fldChar w:fldCharType="end"/>
      </w:r>
      <w:r>
        <w:t xml:space="preserve"> can be combined to form the discrete-time stability criterium given in equation </w:t>
      </w:r>
      <w:r>
        <w:fldChar w:fldCharType="begin"/>
      </w:r>
      <w:r>
        <w:instrText xml:space="preserve"> REF EQ_stability_criteria \h </w:instrText>
      </w:r>
      <w:r>
        <w:fldChar w:fldCharType="separate"/>
      </w:r>
      <w:r>
        <w:rPr>
          <w:noProof/>
        </w:rPr>
        <w:t>22</w:t>
      </w:r>
      <w:r>
        <w:fldChar w:fldCharType="end"/>
      </w:r>
      <w:r>
        <w:t>.</w:t>
      </w:r>
    </w:p>
    <w:p w14:paraId="4529A48F" w14:textId="77777777" w:rsidR="009042C0" w:rsidRPr="00445DD4" w:rsidRDefault="009042C0" w:rsidP="009042C0">
      <w:pPr>
        <w:pStyle w:val="EQ"/>
      </w:pPr>
      <w:r w:rsidRPr="00445DD4">
        <w:tab/>
      </w:r>
      <m:oMath>
        <m:d>
          <m:dPr>
            <m:begChr m:val="|"/>
            <m:endChr m:val="|"/>
            <m:ctrlPr>
              <w:rPr>
                <w:rFonts w:ascii="Cambria Math" w:hAnsi="Cambria Math"/>
                <w:i/>
              </w:rPr>
            </m:ctrlPr>
          </m:dPr>
          <m:e>
            <m:r>
              <w:rPr>
                <w:rFonts w:ascii="Cambria Math" w:hAnsi="Cambria Math"/>
              </w:rPr>
              <m:t>α×</m:t>
            </m:r>
            <m:sSub>
              <m:sSubPr>
                <m:ctrlPr>
                  <w:rPr>
                    <w:rFonts w:ascii="Cambria Math" w:hAnsi="Cambria Math"/>
                    <w:i/>
                  </w:rPr>
                </m:ctrlPr>
              </m:sSubPr>
              <m:e>
                <m:r>
                  <m:rPr>
                    <m:nor/>
                  </m:rPr>
                  <w:rPr>
                    <w:rFonts w:ascii="Cambria Math" w:hAnsi="Cambria Math"/>
                  </w:rPr>
                  <m:t>f</m:t>
                </m:r>
              </m:e>
              <m:sub>
                <m:r>
                  <m:rPr>
                    <m:nor/>
                  </m:rPr>
                  <w:rPr>
                    <w:rFonts w:ascii="Cambria Math" w:hAnsi="Cambria Math"/>
                  </w:rPr>
                  <m:t>fn</m:t>
                </m:r>
              </m:sub>
            </m:sSub>
            <m:d>
              <m:dPr>
                <m:ctrlPr>
                  <w:rPr>
                    <w:rFonts w:ascii="Cambria Math" w:hAnsi="Cambria Math"/>
                    <w:i/>
                  </w:rPr>
                </m:ctrlPr>
              </m:dPr>
              <m:e>
                <m:r>
                  <w:rPr>
                    <w:rFonts w:ascii="Cambria Math" w:hAnsi="Cambria Math"/>
                  </w:rPr>
                  <m:t>N×u</m:t>
                </m:r>
                <m:d>
                  <m:dPr>
                    <m:ctrlPr>
                      <w:rPr>
                        <w:rFonts w:ascii="Cambria Math" w:hAnsi="Cambria Math"/>
                        <w:i/>
                      </w:rPr>
                    </m:ctrlPr>
                  </m:dPr>
                  <m:e>
                    <m:r>
                      <w:rPr>
                        <w:rFonts w:ascii="Cambria Math" w:hAnsi="Cambria Math"/>
                      </w:rPr>
                      <m:t>t</m:t>
                    </m:r>
                  </m:e>
                </m:d>
              </m:e>
            </m:d>
            <m:r>
              <w:rPr>
                <w:rFonts w:ascii="Cambria Math" w:hAnsi="Cambria Math"/>
              </w:rPr>
              <m:t>×</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N×u</m:t>
                    </m:r>
                    <m:d>
                      <m:dPr>
                        <m:ctrlPr>
                          <w:rPr>
                            <w:rFonts w:ascii="Cambria Math" w:hAnsi="Cambria Math"/>
                            <w:i/>
                          </w:rPr>
                        </m:ctrlPr>
                      </m:dPr>
                      <m:e>
                        <m:r>
                          <w:rPr>
                            <w:rFonts w:ascii="Cambria Math" w:hAnsi="Cambria Math"/>
                          </w:rPr>
                          <m:t>t</m:t>
                        </m:r>
                      </m:e>
                    </m:d>
                  </m:e>
                </m:d>
                <m:r>
                  <w:rPr>
                    <w:rFonts w:ascii="Cambria Math" w:hAnsi="Cambria Math"/>
                  </w:rPr>
                  <m:t>-u</m:t>
                </m:r>
                <m:d>
                  <m:dPr>
                    <m:ctrlPr>
                      <w:rPr>
                        <w:rFonts w:ascii="Cambria Math" w:hAnsi="Cambria Math"/>
                        <w:i/>
                      </w:rPr>
                    </m:ctrlPr>
                  </m:dPr>
                  <m:e>
                    <m:r>
                      <w:rPr>
                        <w:rFonts w:ascii="Cambria Math" w:hAnsi="Cambria Math"/>
                      </w:rPr>
                      <m:t>t</m:t>
                    </m:r>
                  </m:e>
                </m:d>
              </m:e>
            </m:d>
          </m:e>
        </m:d>
        <m:r>
          <w:rPr>
            <w:rFonts w:ascii="Cambria Math" w:hAnsi="Cambria Math"/>
          </w:rPr>
          <m:t>&lt;2×</m:t>
        </m:r>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rPr>
                  <m:t>u</m:t>
                </m:r>
              </m:e>
            </m:acc>
            <m:r>
              <w:rPr>
                <w:rFonts w:ascii="Cambria Math" w:hAnsi="Cambria Math"/>
              </w:rPr>
              <m:t>-u</m:t>
            </m:r>
            <m:d>
              <m:dPr>
                <m:ctrlPr>
                  <w:rPr>
                    <w:rFonts w:ascii="Cambria Math" w:hAnsi="Cambria Math"/>
                    <w:i/>
                    <w:noProof w:val="0"/>
                  </w:rPr>
                </m:ctrlPr>
              </m:dPr>
              <m:e>
                <m:r>
                  <w:rPr>
                    <w:rFonts w:ascii="Cambria Math" w:hAnsi="Cambria Math"/>
                  </w:rPr>
                  <m:t>t</m:t>
                </m:r>
              </m:e>
            </m:d>
          </m:e>
        </m:d>
      </m:oMath>
      <w:r w:rsidRPr="00445DD4">
        <w:tab/>
        <w:t>(</w:t>
      </w:r>
      <w:bookmarkStart w:id="312" w:name="EQ_stability_criteria"/>
      <w:r w:rsidRPr="00445DD4">
        <w:fldChar w:fldCharType="begin"/>
      </w:r>
      <w:r w:rsidRPr="00445DD4">
        <w:instrText xml:space="preserve"> SEQ Eq \* MERGEFORMAT </w:instrText>
      </w:r>
      <w:r w:rsidRPr="00445DD4">
        <w:fldChar w:fldCharType="separate"/>
      </w:r>
      <w:r>
        <w:t>22</w:t>
      </w:r>
      <w:r w:rsidRPr="00445DD4">
        <w:fldChar w:fldCharType="end"/>
      </w:r>
      <w:bookmarkEnd w:id="312"/>
      <w:r w:rsidRPr="00445DD4">
        <w:t>)</w:t>
      </w:r>
    </w:p>
    <w:p w14:paraId="699AD1E5" w14:textId="77777777" w:rsidR="009042C0" w:rsidRPr="001E4E0C" w:rsidRDefault="009042C0" w:rsidP="009042C0">
      <w:r w:rsidRPr="00673D02">
        <w:t xml:space="preserve">This criterium is a function of </w:t>
      </w:r>
      <w:r w:rsidRPr="001E4E0C">
        <w:t xml:space="preserve">the channel utilisation </w:t>
      </w:r>
      <m:oMath>
        <m:r>
          <w:rPr>
            <w:rFonts w:ascii="Cambria Math" w:hAnsi="Cambria Math"/>
          </w:rPr>
          <m:t>u</m:t>
        </m:r>
        <m:d>
          <m:dPr>
            <m:ctrlPr>
              <w:rPr>
                <w:rFonts w:ascii="Cambria Math" w:hAnsi="Cambria Math"/>
                <w:i/>
              </w:rPr>
            </m:ctrlPr>
          </m:dPr>
          <m:e>
            <m:r>
              <w:rPr>
                <w:rFonts w:ascii="Cambria Math" w:hAnsi="Cambria Math"/>
              </w:rPr>
              <m:t>t</m:t>
            </m:r>
          </m:e>
        </m:d>
      </m:oMath>
      <w:r w:rsidRPr="001E4E0C">
        <w:t xml:space="preserve"> </w:t>
      </w:r>
      <w:r w:rsidRPr="00673D02">
        <w:t xml:space="preserve">and </w:t>
      </w:r>
      <w:r w:rsidRPr="001E4E0C">
        <w:t xml:space="preserve">the node number </w:t>
      </w:r>
      <w:r w:rsidRPr="001E4E0C">
        <w:rPr>
          <w:i/>
        </w:rPr>
        <w:t>N</w:t>
      </w:r>
      <w:r>
        <w:t>. It should be fulfilled within the whole range of 0&lt;</w:t>
      </w:r>
      <w:r w:rsidRPr="00673D02">
        <w:rPr>
          <w:i/>
          <w:iCs/>
        </w:rPr>
        <w:t>u</w:t>
      </w:r>
      <w:r>
        <w:t>(</w:t>
      </w:r>
      <w:r w:rsidRPr="00673D02">
        <w:rPr>
          <w:i/>
          <w:iCs/>
        </w:rPr>
        <w:t>t</w:t>
      </w:r>
      <w:r>
        <w:t xml:space="preserve">)&lt;1 and within the given range of node numbers </w:t>
      </w:r>
      <w:r w:rsidRPr="00B261BB">
        <w:rPr>
          <w:i/>
        </w:rPr>
        <w:t>N</w:t>
      </w:r>
      <w:r>
        <w:t xml:space="preserve"> where the controller should be stable.</w:t>
      </w:r>
    </w:p>
    <w:p w14:paraId="7373371F" w14:textId="77777777" w:rsidR="009042C0" w:rsidRPr="00C64900" w:rsidRDefault="009042C0" w:rsidP="009042C0">
      <w:pPr>
        <w:pStyle w:val="Heading2"/>
      </w:pPr>
      <w:bookmarkStart w:id="313" w:name="Cls_B_Control_dynamics"/>
      <w:bookmarkStart w:id="314" w:name="_Toc197337074"/>
      <w:r>
        <w:t>B.4</w:t>
      </w:r>
      <w:bookmarkEnd w:id="313"/>
      <w:r>
        <w:tab/>
        <w:t>Control dynamics</w:t>
      </w:r>
      <w:bookmarkEnd w:id="314"/>
    </w:p>
    <w:p w14:paraId="2616A6E9" w14:textId="77777777" w:rsidR="009042C0" w:rsidRDefault="009042C0" w:rsidP="009042C0">
      <w:r>
        <w:t>The convergence speed of the controller can be characterised with a channel load step function. Since the equilibrium might not be exactly reached because of quantisation effects and measurement noise, a definition of the convergence speed by the time until a certain percentage of the channel load equilibrium is reached can be used. In addition, it makes sense to characterise the decay time of the controller oscillations, since it can be much longer that the time the channel utilisation reaches a certain percentage of the equilibrium. Another criterium to characterise the control dynamics is the overshoot and undershoot relative to the equilibrium channel utilization when a channel load step function is applied. Also, the step size of the channel utilization quantization is an important parameter when defining the bounded stability criteria.</w:t>
      </w:r>
    </w:p>
    <w:p w14:paraId="4E0DFBDB" w14:textId="77777777" w:rsidR="009042C0" w:rsidRDefault="009042C0" w:rsidP="009042C0">
      <w:r>
        <w:t>To get a first impression of the convergence speed and the decay time of the controller oscillations an inspection of the result of the continuous time differential equation </w:t>
      </w:r>
      <w:r>
        <w:fldChar w:fldCharType="begin"/>
      </w:r>
      <w:r>
        <w:instrText xml:space="preserve"> REF EQ_u_DEG \h </w:instrText>
      </w:r>
      <w:r>
        <w:fldChar w:fldCharType="separate"/>
      </w:r>
      <w:r>
        <w:rPr>
          <w:noProof/>
        </w:rPr>
        <w:t>18</w:t>
      </w:r>
      <w:r>
        <w:fldChar w:fldCharType="end"/>
      </w:r>
      <w:r>
        <w:t xml:space="preserve"> is helpful. But this result is just a guide value for the discrete time controller as given by equation </w:t>
      </w:r>
      <w:r>
        <w:fldChar w:fldCharType="begin"/>
      </w:r>
      <w:r>
        <w:instrText xml:space="preserve"> REF EQ_umax_t \h </w:instrText>
      </w:r>
      <w:r>
        <w:fldChar w:fldCharType="separate"/>
      </w:r>
      <w:r>
        <w:rPr>
          <w:noProof/>
        </w:rPr>
        <w:t>11</w:t>
      </w:r>
      <w:r>
        <w:fldChar w:fldCharType="end"/>
      </w:r>
      <w:r>
        <w:t xml:space="preserve">. The discrete time implementation can converge even faster than the continuous time controller when </w:t>
      </w:r>
      <m:oMath>
        <m:r>
          <w:rPr>
            <w:rFonts w:ascii="Cambria Math" w:hAnsi="Cambria Math"/>
          </w:rPr>
          <m:t>τ×</m:t>
        </m:r>
        <m:d>
          <m:dPr>
            <m:begChr m:val="|"/>
            <m:endChr m:val="|"/>
            <m:ctrlPr>
              <w:rPr>
                <w:rFonts w:ascii="Cambria Math" w:hAnsi="Cambria Math"/>
                <w:i/>
              </w:rPr>
            </m:ctrlPr>
          </m:dPr>
          <m:e>
            <m:r>
              <w:rPr>
                <w:rFonts w:ascii="Cambria Math" w:hAnsi="Cambria Math"/>
              </w:rPr>
              <m:t>u'</m:t>
            </m:r>
            <m:d>
              <m:dPr>
                <m:ctrlPr>
                  <w:rPr>
                    <w:rFonts w:ascii="Cambria Math" w:hAnsi="Cambria Math"/>
                    <w:i/>
                  </w:rPr>
                </m:ctrlPr>
              </m:dPr>
              <m:e>
                <m:r>
                  <w:rPr>
                    <w:rFonts w:ascii="Cambria Math" w:hAnsi="Cambria Math"/>
                  </w:rPr>
                  <m:t>t</m:t>
                </m:r>
              </m:e>
            </m:d>
          </m:e>
        </m:d>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u</m:t>
                </m:r>
              </m:e>
            </m:acc>
            <m:r>
              <w:rPr>
                <w:rFonts w:ascii="Cambria Math" w:hAnsi="Cambria Math"/>
              </w:rPr>
              <m:t>-u</m:t>
            </m:r>
            <m:d>
              <m:dPr>
                <m:ctrlPr>
                  <w:rPr>
                    <w:rFonts w:ascii="Cambria Math" w:hAnsi="Cambria Math"/>
                    <w:i/>
                  </w:rPr>
                </m:ctrlPr>
              </m:dPr>
              <m:e>
                <m:r>
                  <w:rPr>
                    <w:rFonts w:ascii="Cambria Math" w:hAnsi="Cambria Math"/>
                  </w:rPr>
                  <m:t>t</m:t>
                </m:r>
              </m:e>
            </m:d>
          </m:e>
        </m:d>
      </m:oMath>
      <w:r>
        <w:t>, or much slower when only equation </w:t>
      </w:r>
      <w:r>
        <w:fldChar w:fldCharType="begin"/>
      </w:r>
      <w:r>
        <w:instrText xml:space="preserve"> REF EQ_stability_criteria \h </w:instrText>
      </w:r>
      <w:r>
        <w:fldChar w:fldCharType="separate"/>
      </w:r>
      <w:r>
        <w:rPr>
          <w:noProof/>
        </w:rPr>
        <w:t>22</w:t>
      </w:r>
      <w:r>
        <w:fldChar w:fldCharType="end"/>
      </w:r>
      <w:r>
        <w:t xml:space="preserve"> is fulfilled.</w:t>
      </w:r>
    </w:p>
    <w:p w14:paraId="0983D7C7" w14:textId="77777777" w:rsidR="009042C0" w:rsidRDefault="009042C0" w:rsidP="009042C0">
      <w:r>
        <w:t>The control dynamics</w:t>
      </w:r>
      <w:r w:rsidRPr="00C508EF">
        <w:t xml:space="preserve"> </w:t>
      </w:r>
      <w:r>
        <w:t>of the discrete time controller can be calculated iteratively from equation </w:t>
      </w:r>
      <w:r>
        <w:fldChar w:fldCharType="begin"/>
      </w:r>
      <w:r>
        <w:instrText xml:space="preserve"> REF EQ_umax_t \h </w:instrText>
      </w:r>
      <w:r>
        <w:fldChar w:fldCharType="separate"/>
      </w:r>
      <w:r>
        <w:rPr>
          <w:noProof/>
        </w:rPr>
        <w:t>11</w:t>
      </w:r>
      <w:r>
        <w:fldChar w:fldCharType="end"/>
      </w:r>
      <w:r>
        <w:t>. Only for very simple control functions c</w:t>
      </w:r>
      <w:r w:rsidRPr="008F0A24">
        <w:rPr>
          <w:vertAlign w:val="subscript"/>
        </w:rPr>
        <w:t>fn</w:t>
      </w:r>
      <w:r>
        <w:t xml:space="preserve"> and filtering functions f</w:t>
      </w:r>
      <w:r w:rsidRPr="008F0A24">
        <w:rPr>
          <w:vertAlign w:val="subscript"/>
        </w:rPr>
        <w:t>fn</w:t>
      </w:r>
      <w:r>
        <w:t xml:space="preserve"> exact closed form analytic solutions are possible for the dynamics of a discrete time controller.</w:t>
      </w:r>
    </w:p>
    <w:p w14:paraId="21F9B141" w14:textId="77777777" w:rsidR="009042C0" w:rsidRDefault="009042C0" w:rsidP="009042C0">
      <w:pPr>
        <w:pStyle w:val="Heading9"/>
      </w:pPr>
      <w:bookmarkStart w:id="315" w:name="_Toc197337075"/>
      <w:r w:rsidRPr="00F54712">
        <w:t xml:space="preserve">Annex </w:t>
      </w:r>
      <w:r>
        <w:t>C</w:t>
      </w:r>
      <w:r w:rsidRPr="00F54712">
        <w:t>:</w:t>
      </w:r>
      <w:r w:rsidRPr="00F54712">
        <w:br/>
      </w:r>
      <w:r>
        <w:t>Characterisation of congestion control algorithms</w:t>
      </w:r>
      <w:bookmarkEnd w:id="315"/>
    </w:p>
    <w:p w14:paraId="0311DACA" w14:textId="77777777" w:rsidR="009042C0" w:rsidRDefault="009042C0" w:rsidP="009042C0">
      <w:pPr>
        <w:pStyle w:val="Heading2"/>
      </w:pPr>
      <w:bookmarkStart w:id="316" w:name="_Toc197337076"/>
      <w:r>
        <w:t>C.1</w:t>
      </w:r>
      <w:r>
        <w:tab/>
        <w:t>Reactive congestion control</w:t>
      </w:r>
      <w:bookmarkEnd w:id="316"/>
    </w:p>
    <w:p w14:paraId="5F03387E" w14:textId="77777777" w:rsidR="009042C0" w:rsidRDefault="009042C0" w:rsidP="009042C0">
      <w:pPr>
        <w:pStyle w:val="Heading3"/>
      </w:pPr>
      <w:bookmarkStart w:id="317" w:name="_Toc197337077"/>
      <w:r>
        <w:t>C.1.1</w:t>
      </w:r>
      <w:r>
        <w:tab/>
        <w:t xml:space="preserve">Control equilibrium of the </w:t>
      </w:r>
      <w:bookmarkStart w:id="318" w:name="_Hlk183514258"/>
      <w:r>
        <w:t>reactive congestion control</w:t>
      </w:r>
      <w:bookmarkEnd w:id="317"/>
      <w:bookmarkEnd w:id="318"/>
    </w:p>
    <w:p w14:paraId="199B3410" w14:textId="77777777" w:rsidR="009042C0" w:rsidRPr="00C53B80" w:rsidRDefault="009042C0" w:rsidP="009042C0">
      <w:pPr>
        <w:pStyle w:val="BodyText"/>
      </w:pPr>
      <w:r>
        <w:t>The reactive congestion control</w:t>
      </w:r>
      <w:r w:rsidRPr="00C53B80">
        <w:t xml:space="preserve"> algorithm is based on a control function for </w:t>
      </w:r>
      <w:r w:rsidRPr="00C53B80">
        <w:rPr>
          <w:i/>
        </w:rPr>
        <w:t>T</w:t>
      </w:r>
      <w:r w:rsidRPr="00C53B80">
        <w:rPr>
          <w:i/>
          <w:vertAlign w:val="subscript"/>
        </w:rPr>
        <w:t>off</w:t>
      </w:r>
      <w:r w:rsidRPr="00C53B80">
        <w:t xml:space="preserve"> (equation </w:t>
      </w:r>
      <w:r>
        <w:fldChar w:fldCharType="begin"/>
      </w:r>
      <w:r w:rsidRPr="00C53B80">
        <w:instrText xml:space="preserve"> REF EQ_Toff \h </w:instrText>
      </w:r>
      <w:r>
        <w:fldChar w:fldCharType="separate"/>
      </w:r>
      <w:r>
        <w:rPr>
          <w:noProof/>
        </w:rPr>
        <w:t>23</w:t>
      </w:r>
      <w:r>
        <w:fldChar w:fldCharType="end"/>
      </w:r>
      <w:r w:rsidRPr="00C53B80">
        <w:t>).</w:t>
      </w:r>
    </w:p>
    <w:p w14:paraId="7228FEB6" w14:textId="77777777" w:rsidR="009042C0" w:rsidRPr="00445DD4" w:rsidRDefault="009042C0" w:rsidP="009042C0">
      <w:pPr>
        <w:pStyle w:val="EQ"/>
      </w:pPr>
      <w:r w:rsidRPr="00445DD4">
        <w:tab/>
      </w:r>
      <m:oMath>
        <m:sSub>
          <m:sSubPr>
            <m:ctrlPr>
              <w:rPr>
                <w:rFonts w:ascii="Cambria Math" w:hAnsi="Cambria Math"/>
              </w:rPr>
            </m:ctrlPr>
          </m:sSubPr>
          <m:e>
            <m:r>
              <w:rPr>
                <w:rFonts w:ascii="Cambria Math" w:hAnsi="Cambria Math"/>
              </w:rPr>
              <m:t>T</m:t>
            </m:r>
          </m:e>
          <m:sub>
            <m:r>
              <w:rPr>
                <w:rFonts w:ascii="Cambria Math" w:hAnsi="Cambria Math"/>
              </w:rPr>
              <m:t>off</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CBR</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oMath>
      <w:r w:rsidRPr="00445DD4">
        <w:tab/>
        <w:t>(</w:t>
      </w:r>
      <w:bookmarkStart w:id="319" w:name="EQ_Toff"/>
      <w:r w:rsidRPr="00445DD4">
        <w:fldChar w:fldCharType="begin"/>
      </w:r>
      <w:r w:rsidRPr="00445DD4">
        <w:instrText xml:space="preserve"> SEQ Eq \* MERGEFORMAT </w:instrText>
      </w:r>
      <w:r w:rsidRPr="00445DD4">
        <w:fldChar w:fldCharType="separate"/>
      </w:r>
      <w:r>
        <w:t>23</w:t>
      </w:r>
      <w:r w:rsidRPr="00445DD4">
        <w:fldChar w:fldCharType="end"/>
      </w:r>
      <w:bookmarkEnd w:id="319"/>
      <w:r w:rsidRPr="00445DD4">
        <w:t>)</w:t>
      </w:r>
    </w:p>
    <w:p w14:paraId="29C06F19" w14:textId="77777777" w:rsidR="009042C0" w:rsidRPr="00E13B8B" w:rsidRDefault="009042C0" w:rsidP="009042C0">
      <w:pPr>
        <w:pStyle w:val="BodyText"/>
      </w:pPr>
      <w:r w:rsidRPr="00C53B80">
        <w:t xml:space="preserve">Where </w:t>
      </w:r>
      <w:r w:rsidRPr="00C53B80">
        <w:rPr>
          <w:i/>
        </w:rPr>
        <w:t>T</w:t>
      </w:r>
      <w:r w:rsidRPr="00C53B80">
        <w:rPr>
          <w:i/>
          <w:vertAlign w:val="subscript"/>
        </w:rPr>
        <w:t>a</w:t>
      </w:r>
      <w:r w:rsidRPr="00C53B80">
        <w:t xml:space="preserve"> and </w:t>
      </w:r>
      <w:r w:rsidRPr="00C53B80">
        <w:rPr>
          <w:i/>
        </w:rPr>
        <w:t>T</w:t>
      </w:r>
      <w:r w:rsidRPr="00C53B80">
        <w:rPr>
          <w:i/>
          <w:vertAlign w:val="subscript"/>
        </w:rPr>
        <w:t>b</w:t>
      </w:r>
      <w:r w:rsidRPr="00C53B80">
        <w:t xml:space="preserve"> are parameters and the channel busy ratio </w:t>
      </w:r>
      <w:r w:rsidRPr="00C53B80">
        <w:rPr>
          <w:i/>
        </w:rPr>
        <w:t>CBR</w:t>
      </w:r>
      <w:r w:rsidRPr="00C53B80">
        <w:t xml:space="preserve"> is the measured channel load.</w:t>
      </w:r>
      <w:r>
        <w:t xml:space="preserve"> This implies that the equilibrium channel load </w:t>
      </w:r>
      <w:r w:rsidRPr="00673D02">
        <w:rPr>
          <w:i/>
        </w:rPr>
        <w:t>CL</w:t>
      </w:r>
      <w:r>
        <w:t xml:space="preserve"> is not only depending on the number of nodes </w:t>
      </w:r>
      <w:r>
        <w:rPr>
          <w:i/>
        </w:rPr>
        <w:t>N</w:t>
      </w:r>
      <w:r>
        <w:t xml:space="preserve">, but also on the duration of the transmissions </w:t>
      </w:r>
      <w:r w:rsidRPr="00673D02">
        <w:rPr>
          <w:i/>
        </w:rPr>
        <w:t>T</w:t>
      </w:r>
      <w:r w:rsidRPr="00673D02">
        <w:rPr>
          <w:i/>
          <w:vertAlign w:val="subscript"/>
        </w:rPr>
        <w:t>on</w:t>
      </w:r>
      <w:r>
        <w:t xml:space="preserve">. This follows from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and </w:t>
      </w:r>
      <w:r w:rsidRPr="00C53B80">
        <w:t>equation </w:t>
      </w:r>
      <w:r w:rsidRPr="00445DD4">
        <w:fldChar w:fldCharType="begin"/>
      </w:r>
      <w:r w:rsidRPr="00C53B80">
        <w:instrText xml:space="preserve"> REF EQ_u_T \h </w:instrText>
      </w:r>
      <w:r w:rsidRPr="00445DD4">
        <w:fldChar w:fldCharType="separate"/>
      </w:r>
      <w:r>
        <w:rPr>
          <w:noProof/>
        </w:rPr>
        <w:t>6</w:t>
      </w:r>
      <w:r w:rsidRPr="00445DD4">
        <w:fldChar w:fldCharType="end"/>
      </w:r>
      <w:r>
        <w:t xml:space="preserve"> when assuming that </w:t>
      </w:r>
      <w:r w:rsidRPr="0028357D">
        <w:rPr>
          <w:i/>
        </w:rPr>
        <w:t>CL</w:t>
      </w:r>
      <w:r>
        <w:rPr>
          <w:i/>
        </w:rPr>
        <w:t xml:space="preserve"> </w:t>
      </w:r>
      <w:r>
        <w:t xml:space="preserve">is equal </w:t>
      </w:r>
      <w:r w:rsidRPr="00C53B80">
        <w:rPr>
          <w:i/>
        </w:rPr>
        <w:t>CBR</w:t>
      </w:r>
      <w:r>
        <w:t xml:space="preserve"> (</w:t>
      </w:r>
      <w:r w:rsidRPr="0028357D">
        <w:rPr>
          <w:i/>
        </w:rPr>
        <w:t>CL</w:t>
      </w:r>
      <w:r>
        <w:t>=</w:t>
      </w:r>
      <w:r w:rsidRPr="00C53B80">
        <w:rPr>
          <w:i/>
        </w:rPr>
        <w:t>CBR</w:t>
      </w:r>
      <w:r>
        <w:t>):</w:t>
      </w:r>
    </w:p>
    <w:p w14:paraId="5672E9F9" w14:textId="77777777" w:rsidR="009042C0" w:rsidRDefault="009042C0" w:rsidP="009042C0">
      <w:pPr>
        <w:pStyle w:val="EQ"/>
      </w:pPr>
      <w:r w:rsidRPr="00445DD4">
        <w:tab/>
      </w:r>
      <m:oMath>
        <m:r>
          <w:rPr>
            <w:rFonts w:ascii="Cambria Math" w:hAnsi="Cambria Math"/>
          </w:rPr>
          <m:t>CL=N×</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off</m:t>
                </m:r>
              </m:sub>
            </m:sSub>
          </m:den>
        </m:f>
      </m:oMath>
      <w:r w:rsidRPr="00445DD4">
        <w:tab/>
        <w:t>(</w:t>
      </w:r>
      <w:bookmarkStart w:id="320" w:name="EQ_CL_Ton_Toff"/>
      <w:r w:rsidRPr="00445DD4">
        <w:fldChar w:fldCharType="begin"/>
      </w:r>
      <w:r w:rsidRPr="00445DD4">
        <w:instrText xml:space="preserve"> SEQ Eq \* MERGEFORMAT </w:instrText>
      </w:r>
      <w:r w:rsidRPr="00445DD4">
        <w:fldChar w:fldCharType="separate"/>
      </w:r>
      <w:r>
        <w:t>24</w:t>
      </w:r>
      <w:r w:rsidRPr="00445DD4">
        <w:fldChar w:fldCharType="end"/>
      </w:r>
      <w:bookmarkEnd w:id="320"/>
      <w:r w:rsidRPr="00445DD4">
        <w:t>)</w:t>
      </w:r>
    </w:p>
    <w:p w14:paraId="1186D1C6" w14:textId="77777777" w:rsidR="009042C0" w:rsidRPr="00751CB7" w:rsidRDefault="009042C0" w:rsidP="009042C0">
      <w:r>
        <w:t xml:space="preserve">When combining </w:t>
      </w:r>
      <w:r w:rsidRPr="00C53B80">
        <w:t>equation </w:t>
      </w:r>
      <w:r>
        <w:fldChar w:fldCharType="begin"/>
      </w:r>
      <w:r w:rsidRPr="00C53B80">
        <w:instrText xml:space="preserve"> REF EQ_Toff \h </w:instrText>
      </w:r>
      <w:r>
        <w:fldChar w:fldCharType="separate"/>
      </w:r>
      <w:r>
        <w:rPr>
          <w:noProof/>
        </w:rPr>
        <w:t>23</w:t>
      </w:r>
      <w:r>
        <w:fldChar w:fldCharType="end"/>
      </w:r>
      <w:r>
        <w:t xml:space="preserve"> with </w:t>
      </w:r>
      <w:r w:rsidRPr="00C53B80">
        <w:t>equation </w:t>
      </w:r>
      <w:r>
        <w:fldChar w:fldCharType="begin"/>
      </w:r>
      <w:r>
        <w:instrText xml:space="preserve"> REF EQ_CL_Ton_Toff \h </w:instrText>
      </w:r>
      <w:r>
        <w:fldChar w:fldCharType="separate"/>
      </w:r>
      <w:r>
        <w:rPr>
          <w:noProof/>
        </w:rPr>
        <w:t>24</w:t>
      </w:r>
      <w:r>
        <w:fldChar w:fldCharType="end"/>
      </w:r>
      <w:r>
        <w:t xml:space="preserve"> the </w:t>
      </w:r>
      <w:r w:rsidRPr="00C53B80">
        <w:rPr>
          <w:i/>
        </w:rPr>
        <w:t>T</w:t>
      </w:r>
      <w:r w:rsidRPr="00C53B80">
        <w:rPr>
          <w:i/>
          <w:vertAlign w:val="subscript"/>
        </w:rPr>
        <w:t>off</w:t>
      </w:r>
      <w:r>
        <w:t xml:space="preserve"> control function can be rewritten to:</w:t>
      </w:r>
    </w:p>
    <w:p w14:paraId="7C2A4403" w14:textId="77777777" w:rsidR="009042C0" w:rsidRPr="00445DD4" w:rsidRDefault="009042C0" w:rsidP="009042C0">
      <w:pPr>
        <w:pStyle w:val="EQ"/>
      </w:pPr>
      <w:r w:rsidRPr="00445DD4">
        <w:tab/>
      </w:r>
      <m:oMath>
        <m:sSub>
          <m:sSubPr>
            <m:ctrlPr>
              <w:rPr>
                <w:rFonts w:ascii="Cambria Math" w:hAnsi="Cambria Math"/>
              </w:rPr>
            </m:ctrlPr>
          </m:sSubPr>
          <m:e>
            <m:r>
              <w:rPr>
                <w:rFonts w:ascii="Cambria Math" w:hAnsi="Cambria Math"/>
              </w:rPr>
              <m:t>T</m:t>
            </m:r>
          </m:e>
          <m:sub>
            <m:r>
              <w:rPr>
                <w:rFonts w:ascii="Cambria Math" w:hAnsi="Cambria Math"/>
              </w:rPr>
              <m:t>off</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N×</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τ</m:t>
            </m:r>
            <m:r>
              <m:rPr>
                <m:sty m:val="p"/>
              </m:rPr>
              <w:rPr>
                <w:rFonts w:ascii="Cambria Math" w:hAnsi="Cambria Math"/>
              </w:rPr>
              <m:t>)</m:t>
            </m:r>
          </m:num>
          <m:den>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off</m:t>
                </m:r>
              </m:sub>
            </m:sSub>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τ</m:t>
            </m:r>
            <m:r>
              <m:rPr>
                <m:sty m:val="p"/>
              </m:rPr>
              <w:rPr>
                <w:rFonts w:ascii="Cambria Math" w:hAnsi="Cambria Math"/>
              </w:rPr>
              <m:t>)</m:t>
            </m:r>
          </m:den>
        </m:f>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oMath>
      <w:r w:rsidRPr="00445DD4">
        <w:tab/>
        <w:t>(</w:t>
      </w:r>
      <w:bookmarkStart w:id="321" w:name="EQ_Toff_control"/>
      <w:r w:rsidRPr="00445DD4">
        <w:fldChar w:fldCharType="begin"/>
      </w:r>
      <w:r w:rsidRPr="00445DD4">
        <w:instrText xml:space="preserve"> SEQ Eq \* MERGEFORMAT </w:instrText>
      </w:r>
      <w:r w:rsidRPr="00445DD4">
        <w:fldChar w:fldCharType="separate"/>
      </w:r>
      <w:r>
        <w:t>25</w:t>
      </w:r>
      <w:r w:rsidRPr="00445DD4">
        <w:fldChar w:fldCharType="end"/>
      </w:r>
      <w:bookmarkEnd w:id="321"/>
      <w:r w:rsidRPr="00445DD4">
        <w:t>)</w:t>
      </w:r>
    </w:p>
    <w:p w14:paraId="7C8011EF" w14:textId="77777777" w:rsidR="009042C0" w:rsidRPr="009731E0" w:rsidRDefault="009042C0" w:rsidP="009042C0">
      <w:r>
        <w:t xml:space="preserve">To simplify the calculation, it is assumed that all nodes use the same time independent </w:t>
      </w:r>
      <w:r w:rsidRPr="0028357D">
        <w:rPr>
          <w:i/>
        </w:rPr>
        <w:t>T</w:t>
      </w:r>
      <w:r w:rsidRPr="0028357D">
        <w:rPr>
          <w:i/>
          <w:vertAlign w:val="subscript"/>
        </w:rPr>
        <w:t>on</w:t>
      </w:r>
      <w:r>
        <w:t> = </w:t>
      </w:r>
      <w:r w:rsidRPr="009731E0">
        <w:t>const</w:t>
      </w:r>
      <w:r>
        <w:t xml:space="preserve">. With this assumption and based on </w:t>
      </w:r>
      <w:r w:rsidRPr="00C53B80">
        <w:t>equation </w:t>
      </w:r>
      <w:r>
        <w:fldChar w:fldCharType="begin"/>
      </w:r>
      <w:r>
        <w:instrText xml:space="preserve"> REF EQ_Toff_control \h </w:instrText>
      </w:r>
      <w:r>
        <w:fldChar w:fldCharType="separate"/>
      </w:r>
      <w:r>
        <w:rPr>
          <w:noProof/>
        </w:rPr>
        <w:t>25</w:t>
      </w:r>
      <w:r>
        <w:fldChar w:fldCharType="end"/>
      </w:r>
      <w:r>
        <w:t xml:space="preserve"> the </w:t>
      </w:r>
      <w:bookmarkStart w:id="322" w:name="_Hlk183514246"/>
      <w:r>
        <w:t xml:space="preserve">equilibrium </w:t>
      </w:r>
      <m:oMath>
        <m:sSub>
          <m:sSubPr>
            <m:ctrlPr>
              <w:rPr>
                <w:rFonts w:ascii="Cambria Math" w:hAnsi="Cambria Math"/>
              </w:rPr>
            </m:ctrlPr>
          </m:sSubPr>
          <m:e>
            <m:acc>
              <m:accPr>
                <m:chr m:val="̃"/>
                <m:ctrlPr>
                  <w:rPr>
                    <w:rFonts w:ascii="Cambria Math" w:hAnsi="Cambria Math"/>
                    <w:i/>
                    <w:iCs/>
                    <w:noProof/>
                  </w:rPr>
                </m:ctrlPr>
              </m:accPr>
              <m:e>
                <m:r>
                  <w:rPr>
                    <w:rFonts w:ascii="Cambria Math" w:hAnsi="Cambria Math"/>
                  </w:rPr>
                  <m:t>T</m:t>
                </m:r>
              </m:e>
            </m:acc>
          </m:e>
          <m:sub>
            <m:r>
              <w:rPr>
                <w:rFonts w:ascii="Cambria Math" w:hAnsi="Cambria Math"/>
              </w:rPr>
              <m:t>off</m:t>
            </m:r>
          </m:sub>
        </m:sSub>
      </m:oMath>
      <w:r>
        <w:t xml:space="preserve"> </w:t>
      </w:r>
      <w:bookmarkEnd w:id="322"/>
      <w:r>
        <w:t>can be calculated from equation </w:t>
      </w:r>
      <w:r>
        <w:fldChar w:fldCharType="begin"/>
      </w:r>
      <w:r>
        <w:instrText xml:space="preserve"> REF EQ_Toff_equilibrium \h </w:instrText>
      </w:r>
      <w:r>
        <w:fldChar w:fldCharType="separate"/>
      </w:r>
      <w:r>
        <w:rPr>
          <w:noProof/>
        </w:rPr>
        <w:t>26</w:t>
      </w:r>
      <w:r>
        <w:fldChar w:fldCharType="end"/>
      </w:r>
      <w:r>
        <w:t>.</w:t>
      </w:r>
    </w:p>
    <w:p w14:paraId="583CFEC6" w14:textId="77777777" w:rsidR="009042C0" w:rsidRPr="00445DD4" w:rsidRDefault="009042C0" w:rsidP="009042C0">
      <w:pPr>
        <w:pStyle w:val="EQ"/>
      </w:pPr>
      <w:bookmarkStart w:id="323" w:name="_Hlk183514216"/>
      <w:r w:rsidRPr="00445DD4">
        <w:tab/>
      </w:r>
      <m:oMath>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r>
          <m:rPr>
            <m:sty m:val="p"/>
          </m:rPr>
          <w:rPr>
            <w:rFonts w:ascii="Cambria Math" w:hAnsi="Cambria Math"/>
          </w:rPr>
          <m:t>=</m:t>
        </m:r>
        <m:r>
          <w:rPr>
            <w:rFonts w:ascii="Cambria Math" w:hAnsi="Cambria Math"/>
          </w:rPr>
          <m:t>N×</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T</m:t>
                    </m:r>
                  </m:e>
                </m:acc>
              </m:e>
              <m:sub>
                <m:r>
                  <w:rPr>
                    <w:rFonts w:ascii="Cambria Math" w:hAnsi="Cambria Math"/>
                  </w:rPr>
                  <m:t>off</m:t>
                </m:r>
              </m:sub>
            </m:sSub>
          </m:den>
        </m:f>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oMath>
      <w:r w:rsidRPr="00445DD4">
        <w:tab/>
        <w:t>(</w:t>
      </w:r>
      <w:bookmarkStart w:id="324" w:name="EQ_Toff_equilibrium"/>
      <w:r w:rsidRPr="00445DD4">
        <w:fldChar w:fldCharType="begin"/>
      </w:r>
      <w:r w:rsidRPr="00445DD4">
        <w:instrText xml:space="preserve"> SEQ Eq \* MERGEFORMAT </w:instrText>
      </w:r>
      <w:r w:rsidRPr="00445DD4">
        <w:fldChar w:fldCharType="separate"/>
      </w:r>
      <w:r>
        <w:t>26</w:t>
      </w:r>
      <w:r w:rsidRPr="00445DD4">
        <w:fldChar w:fldCharType="end"/>
      </w:r>
      <w:bookmarkEnd w:id="324"/>
      <w:r w:rsidRPr="00445DD4">
        <w:t>)</w:t>
      </w:r>
    </w:p>
    <w:p w14:paraId="3706E2FF" w14:textId="77777777" w:rsidR="009042C0" w:rsidRDefault="009042C0" w:rsidP="009042C0">
      <w:r>
        <w:t xml:space="preserve">What leads to a quadratic equation for </w:t>
      </w:r>
      <m:oMath>
        <m:sSub>
          <m:sSubPr>
            <m:ctrlPr>
              <w:rPr>
                <w:rFonts w:ascii="Cambria Math" w:hAnsi="Cambria Math"/>
              </w:rPr>
            </m:ctrlPr>
          </m:sSubPr>
          <m:e>
            <m:acc>
              <m:accPr>
                <m:chr m:val="̃"/>
                <m:ctrlPr>
                  <w:rPr>
                    <w:rFonts w:ascii="Cambria Math" w:hAnsi="Cambria Math"/>
                    <w:i/>
                    <w:iCs/>
                    <w:noProof/>
                  </w:rPr>
                </m:ctrlPr>
              </m:accPr>
              <m:e>
                <m:r>
                  <w:rPr>
                    <w:rFonts w:ascii="Cambria Math" w:hAnsi="Cambria Math"/>
                  </w:rPr>
                  <m:t>T</m:t>
                </m:r>
              </m:e>
            </m:acc>
          </m:e>
          <m:sub>
            <m:r>
              <w:rPr>
                <w:rFonts w:ascii="Cambria Math" w:hAnsi="Cambria Math"/>
              </w:rPr>
              <m:t>off</m:t>
            </m:r>
          </m:sub>
        </m:sSub>
      </m:oMath>
      <w:r>
        <w:t>:</w:t>
      </w:r>
    </w:p>
    <w:p w14:paraId="1E3F2E26" w14:textId="77777777" w:rsidR="009042C0" w:rsidRDefault="009042C0" w:rsidP="009042C0">
      <w:pPr>
        <w:pStyle w:val="EQ"/>
      </w:pPr>
      <w:r w:rsidRPr="00445DD4">
        <w:tab/>
      </w:r>
      <m:oMath>
        <m:sSubSup>
          <m:sSubSupPr>
            <m:ctrlPr>
              <w:rPr>
                <w:rFonts w:ascii="Cambria Math" w:hAnsi="Cambria Math"/>
              </w:rPr>
            </m:ctrlPr>
          </m:sSubSupPr>
          <m:e>
            <m:acc>
              <m:accPr>
                <m:chr m:val="̃"/>
                <m:ctrlPr>
                  <w:rPr>
                    <w:rFonts w:ascii="Cambria Math" w:hAnsi="Cambria Math"/>
                    <w:i/>
                    <w:iCs/>
                  </w:rPr>
                </m:ctrlPr>
              </m:accPr>
              <m:e>
                <m:r>
                  <w:rPr>
                    <w:rFonts w:ascii="Cambria Math" w:hAnsi="Cambria Math"/>
                  </w:rPr>
                  <m:t>T</m:t>
                </m:r>
              </m:e>
            </m:acc>
          </m:e>
          <m:sub>
            <m:r>
              <w:rPr>
                <w:rFonts w:ascii="Cambria Math" w:hAnsi="Cambria Math"/>
              </w:rPr>
              <m:t>off</m:t>
            </m:r>
          </m:sub>
          <m:sup>
            <m:r>
              <w:rPr>
                <w:rFonts w:ascii="Cambria Math" w:hAnsi="Cambria Math"/>
              </w:rPr>
              <m:t>2</m:t>
            </m:r>
          </m:sup>
        </m:sSubSup>
        <m:r>
          <m:rPr>
            <m:sty m:val="p"/>
          </m:rPr>
          <w:rPr>
            <w:rFonts w:ascii="Cambria Math" w:hAnsi="Cambria Math"/>
          </w:rPr>
          <m:t>+</m:t>
        </m:r>
        <m:sSub>
          <m:sSubPr>
            <m:ctrlPr>
              <w:rPr>
                <w:rFonts w:ascii="Cambria Math" w:hAnsi="Cambria Math"/>
              </w:rPr>
            </m:ctrlPr>
          </m:sSubPr>
          <m:e>
            <m:acc>
              <m:accPr>
                <m:chr m:val="̃"/>
                <m:ctrlPr>
                  <w:rPr>
                    <w:rFonts w:ascii="Cambria Math" w:hAnsi="Cambria Math"/>
                    <w:i/>
                  </w:rPr>
                </m:ctrlPr>
              </m:accPr>
              <m:e>
                <m:r>
                  <w:rPr>
                    <w:rFonts w:ascii="Cambria Math" w:hAnsi="Cambria Math"/>
                  </w:rPr>
                  <m:t>T</m:t>
                </m:r>
              </m:e>
            </m:acc>
          </m:e>
          <m:sub>
            <m:r>
              <w:rPr>
                <w:rFonts w:ascii="Cambria Math" w:hAnsi="Cambria Math"/>
              </w:rPr>
              <m:t>off</m:t>
            </m:r>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d>
          <m:dPr>
            <m:ctrlPr>
              <w:rPr>
                <w:rFonts w:ascii="Cambria Math" w:hAnsi="Cambria Math"/>
                <w:i/>
              </w:rPr>
            </m:ctrlPr>
          </m:dPr>
          <m:e>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e>
        </m:d>
        <m:r>
          <w:rPr>
            <w:rFonts w:ascii="Cambria Math" w:hAnsi="Cambria Math"/>
          </w:rPr>
          <m:t>=0</m:t>
        </m:r>
      </m:oMath>
      <w:r w:rsidRPr="00445DD4">
        <w:tab/>
        <w:t>(</w:t>
      </w:r>
      <w:bookmarkStart w:id="325" w:name="EQ_Toff_equilibrium_quadratic"/>
      <w:r w:rsidRPr="00445DD4">
        <w:fldChar w:fldCharType="begin"/>
      </w:r>
      <w:r w:rsidRPr="00445DD4">
        <w:instrText xml:space="preserve"> SEQ Eq \* MERGEFORMAT </w:instrText>
      </w:r>
      <w:r w:rsidRPr="00445DD4">
        <w:fldChar w:fldCharType="separate"/>
      </w:r>
      <w:r>
        <w:t>27</w:t>
      </w:r>
      <w:r w:rsidRPr="00445DD4">
        <w:fldChar w:fldCharType="end"/>
      </w:r>
      <w:bookmarkEnd w:id="325"/>
      <w:r w:rsidRPr="00445DD4">
        <w:t>)</w:t>
      </w:r>
    </w:p>
    <w:p w14:paraId="78DA35A7" w14:textId="77777777" w:rsidR="009042C0" w:rsidRPr="00C5397A" w:rsidRDefault="009042C0" w:rsidP="009042C0">
      <w:r>
        <w:t>Equation </w:t>
      </w:r>
      <w:r>
        <w:fldChar w:fldCharType="begin"/>
      </w:r>
      <w:r>
        <w:instrText xml:space="preserve"> REF EQ_Toff_equilibrium_quadratic \h </w:instrText>
      </w:r>
      <w:r>
        <w:fldChar w:fldCharType="separate"/>
      </w:r>
      <w:r>
        <w:rPr>
          <w:noProof/>
        </w:rPr>
        <w:t>27</w:t>
      </w:r>
      <w:r>
        <w:fldChar w:fldCharType="end"/>
      </w:r>
      <w:r>
        <w:t xml:space="preserve"> has following two solutions for </w:t>
      </w:r>
      <m:oMath>
        <m:sSub>
          <m:sSubPr>
            <m:ctrlPr>
              <w:rPr>
                <w:rFonts w:ascii="Cambria Math" w:hAnsi="Cambria Math"/>
              </w:rPr>
            </m:ctrlPr>
          </m:sSubPr>
          <m:e>
            <m:acc>
              <m:accPr>
                <m:chr m:val="̃"/>
                <m:ctrlPr>
                  <w:rPr>
                    <w:rFonts w:ascii="Cambria Math" w:hAnsi="Cambria Math"/>
                    <w:i/>
                    <w:iCs/>
                    <w:noProof/>
                  </w:rPr>
                </m:ctrlPr>
              </m:accPr>
              <m:e>
                <m:r>
                  <w:rPr>
                    <w:rFonts w:ascii="Cambria Math" w:hAnsi="Cambria Math"/>
                  </w:rPr>
                  <m:t>T</m:t>
                </m:r>
              </m:e>
            </m:acc>
          </m:e>
          <m:sub>
            <m:r>
              <w:rPr>
                <w:rFonts w:ascii="Cambria Math" w:hAnsi="Cambria Math"/>
              </w:rPr>
              <m:t>off</m:t>
            </m:r>
          </m:sub>
        </m:sSub>
      </m:oMath>
      <w:r>
        <w:t>:</w:t>
      </w:r>
    </w:p>
    <w:p w14:paraId="66493D4E" w14:textId="77777777" w:rsidR="009042C0" w:rsidRPr="00445DD4" w:rsidRDefault="009042C0" w:rsidP="009042C0">
      <w:pPr>
        <w:pStyle w:val="EQ"/>
      </w:pPr>
      <w:r w:rsidRPr="00445DD4">
        <w:tab/>
      </w:r>
      <m:oMath>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i/>
                            <w:iCs/>
                          </w:rPr>
                        </m:ctrlPr>
                      </m:accPr>
                      <m:e>
                        <m:r>
                          <w:rPr>
                            <w:rFonts w:ascii="Cambria Math" w:hAnsi="Cambria Math"/>
                          </w:rPr>
                          <m:t>T</m:t>
                        </m:r>
                      </m:e>
                    </m:acc>
                  </m:e>
                  <m:sub>
                    <m:r>
                      <w:rPr>
                        <w:rFonts w:ascii="Cambria Math" w:hAnsi="Cambria Math"/>
                      </w:rPr>
                      <m:t>off</m:t>
                    </m:r>
                  </m:sub>
                </m:sSub>
              </m:e>
            </m:d>
          </m:e>
          <m:sub>
            <m:r>
              <w:rPr>
                <w:rFonts w:ascii="Cambria Math" w:hAnsi="Cambria Math"/>
              </w:rPr>
              <m:t>2</m:t>
            </m:r>
          </m:sub>
          <m:sup>
            <m:r>
              <w:rPr>
                <w:rFonts w:ascii="Cambria Math" w:hAnsi="Cambria Math"/>
              </w:rPr>
              <m:t>1</m:t>
            </m:r>
          </m:sup>
        </m:sSubSup>
        <m:r>
          <m:rPr>
            <m:sty m:val="p"/>
          </m:rP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d>
          <m:dPr>
            <m:ctrlPr>
              <w:rPr>
                <w:rFonts w:ascii="Cambria Math" w:hAnsi="Cambria Math"/>
                <w:i/>
              </w:rPr>
            </m:ctrlPr>
          </m:dPr>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e>
                    </m:d>
                  </m:e>
                  <m:sup>
                    <m:r>
                      <w:rPr>
                        <w:rFonts w:ascii="Cambria Math" w:hAnsi="Cambria Math"/>
                      </w:rPr>
                      <m:t>2</m:t>
                    </m:r>
                  </m:sup>
                </m:sSup>
                <m:r>
                  <w:rPr>
                    <w:rFonts w:ascii="Cambria Math" w:hAnsi="Cambria Math"/>
                  </w:rPr>
                  <m:t>+4×</m:t>
                </m:r>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e>
            </m:rad>
          </m:e>
        </m:d>
      </m:oMath>
      <w:r w:rsidRPr="00445DD4">
        <w:tab/>
        <w:t>(</w:t>
      </w:r>
      <w:bookmarkStart w:id="326" w:name="EQ_Toff_equilibrium_12"/>
      <w:r w:rsidRPr="00445DD4">
        <w:fldChar w:fldCharType="begin"/>
      </w:r>
      <w:r w:rsidRPr="00445DD4">
        <w:instrText xml:space="preserve"> SEQ Eq \* MERGEFORMAT </w:instrText>
      </w:r>
      <w:r w:rsidRPr="00445DD4">
        <w:fldChar w:fldCharType="separate"/>
      </w:r>
      <w:r>
        <w:t>28</w:t>
      </w:r>
      <w:r w:rsidRPr="00445DD4">
        <w:fldChar w:fldCharType="end"/>
      </w:r>
      <w:bookmarkEnd w:id="326"/>
      <w:r w:rsidRPr="00445DD4">
        <w:t>)</w:t>
      </w:r>
    </w:p>
    <w:bookmarkEnd w:id="323"/>
    <w:p w14:paraId="22C1B9EC" w14:textId="77777777" w:rsidR="009042C0" w:rsidRDefault="009042C0" w:rsidP="009042C0">
      <w:r>
        <w:t xml:space="preserve">The channel load equilibrium </w:t>
      </w:r>
      <m:oMath>
        <m:acc>
          <m:accPr>
            <m:chr m:val="̃"/>
            <m:ctrlPr>
              <w:rPr>
                <w:rFonts w:ascii="Cambria Math" w:hAnsi="Cambria Math"/>
                <w:i/>
              </w:rPr>
            </m:ctrlPr>
          </m:accPr>
          <m:e>
            <m:r>
              <w:rPr>
                <w:rFonts w:ascii="Cambria Math" w:hAnsi="Cambria Math"/>
              </w:rPr>
              <m:t>CL</m:t>
            </m:r>
          </m:e>
        </m:acc>
      </m:oMath>
      <w:r>
        <w:t xml:space="preserve"> results from </w:t>
      </w:r>
      <w:r w:rsidRPr="00C53B80">
        <w:t>equation </w:t>
      </w:r>
      <w:r>
        <w:fldChar w:fldCharType="begin"/>
      </w:r>
      <w:r>
        <w:instrText xml:space="preserve"> REF EQ_CL_Ton_Toff \h </w:instrText>
      </w:r>
      <w:r>
        <w:fldChar w:fldCharType="separate"/>
      </w:r>
      <w:r>
        <w:rPr>
          <w:noProof/>
        </w:rPr>
        <w:t>24</w:t>
      </w:r>
      <w:r>
        <w:fldChar w:fldCharType="end"/>
      </w:r>
      <w:r>
        <w:t xml:space="preserve"> when substituting </w:t>
      </w:r>
      <w:r w:rsidRPr="00C53B80">
        <w:rPr>
          <w:i/>
        </w:rPr>
        <w:t>T</w:t>
      </w:r>
      <w:r w:rsidRPr="00C53B80">
        <w:rPr>
          <w:i/>
          <w:vertAlign w:val="subscript"/>
        </w:rPr>
        <w:t>off</w:t>
      </w:r>
      <w:r>
        <w:t xml:space="preserve"> by </w:t>
      </w:r>
      <m:oMath>
        <m:sSub>
          <m:sSubPr>
            <m:ctrlPr>
              <w:rPr>
                <w:rFonts w:ascii="Cambria Math" w:hAnsi="Cambria Math"/>
              </w:rPr>
            </m:ctrlPr>
          </m:sSubPr>
          <m:e>
            <m:acc>
              <m:accPr>
                <m:chr m:val="̃"/>
                <m:ctrlPr>
                  <w:rPr>
                    <w:rFonts w:ascii="Cambria Math" w:hAnsi="Cambria Math"/>
                    <w:i/>
                    <w:iCs/>
                    <w:noProof/>
                  </w:rPr>
                </m:ctrlPr>
              </m:accPr>
              <m:e>
                <m:r>
                  <w:rPr>
                    <w:rFonts w:ascii="Cambria Math" w:hAnsi="Cambria Math"/>
                  </w:rPr>
                  <m:t>T</m:t>
                </m:r>
              </m:e>
            </m:acc>
          </m:e>
          <m:sub>
            <m:r>
              <w:rPr>
                <w:rFonts w:ascii="Cambria Math" w:hAnsi="Cambria Math"/>
              </w:rPr>
              <m:t>off</m:t>
            </m:r>
          </m:sub>
        </m:sSub>
      </m:oMath>
      <w:r>
        <w:t xml:space="preserve"> obtained from equation </w:t>
      </w:r>
      <w:r>
        <w:fldChar w:fldCharType="begin"/>
      </w:r>
      <w:r>
        <w:instrText xml:space="preserve"> REF EQ_Toff_equilibrium_12 \h </w:instrText>
      </w:r>
      <w:r>
        <w:fldChar w:fldCharType="separate"/>
      </w:r>
      <w:r>
        <w:rPr>
          <w:noProof/>
        </w:rPr>
        <w:t>28</w:t>
      </w:r>
      <w:r>
        <w:fldChar w:fldCharType="end"/>
      </w:r>
      <w:r>
        <w:t>.</w:t>
      </w:r>
    </w:p>
    <w:p w14:paraId="7D064B60" w14:textId="77777777" w:rsidR="009042C0" w:rsidRDefault="009042C0" w:rsidP="009042C0">
      <w:pPr>
        <w:pStyle w:val="EQ"/>
      </w:pPr>
      <w:r w:rsidRPr="00445DD4">
        <w:tab/>
      </w:r>
      <m:oMath>
        <m:sSubSup>
          <m:sSubSupPr>
            <m:ctrlPr>
              <w:rPr>
                <w:rFonts w:ascii="Cambria Math" w:hAnsi="Cambria Math"/>
                <w:i/>
                <w:noProof w:val="0"/>
              </w:rPr>
            </m:ctrlPr>
          </m:sSubSupPr>
          <m:e>
            <m:d>
              <m:dPr>
                <m:begChr m:val=""/>
                <m:endChr m:val="|"/>
                <m:ctrlPr>
                  <w:rPr>
                    <w:rFonts w:ascii="Cambria Math" w:hAnsi="Cambria Math"/>
                    <w:i/>
                    <w:noProof w:val="0"/>
                  </w:rPr>
                </m:ctrlPr>
              </m:dPr>
              <m:e>
                <m:acc>
                  <m:accPr>
                    <m:chr m:val="̃"/>
                    <m:ctrlPr>
                      <w:rPr>
                        <w:rFonts w:ascii="Cambria Math" w:hAnsi="Cambria Math"/>
                        <w:i/>
                        <w:noProof w:val="0"/>
                      </w:rPr>
                    </m:ctrlPr>
                  </m:accPr>
                  <m:e>
                    <m:r>
                      <w:rPr>
                        <w:rFonts w:ascii="Cambria Math" w:hAnsi="Cambria Math"/>
                      </w:rPr>
                      <m:t>CL</m:t>
                    </m:r>
                  </m:e>
                </m:acc>
              </m:e>
            </m:d>
          </m:e>
          <m:sub>
            <m:r>
              <w:rPr>
                <w:rFonts w:ascii="Cambria Math" w:hAnsi="Cambria Math"/>
                <w:noProof w:val="0"/>
              </w:rPr>
              <m:t>2</m:t>
            </m:r>
          </m:sub>
          <m:sup>
            <m:r>
              <w:rPr>
                <w:rFonts w:ascii="Cambria Math" w:hAnsi="Cambria Math"/>
                <w:noProof w:val="0"/>
              </w:rPr>
              <m:t>1</m:t>
            </m:r>
          </m:sup>
        </m:sSubSup>
        <m:r>
          <m:rPr>
            <m:sty m:val="p"/>
          </m:rPr>
          <w:rPr>
            <w:rFonts w:ascii="Cambria Math" w:hAnsi="Cambria Math"/>
          </w:rPr>
          <m:t xml:space="preserve"> </m:t>
        </m:r>
        <m:r>
          <w:rPr>
            <w:rFonts w:ascii="Cambria Math" w:hAnsi="Cambria Math"/>
          </w:rPr>
          <m:t>=</m:t>
        </m:r>
        <m:f>
          <m:fPr>
            <m:ctrlPr>
              <w:rPr>
                <w:rFonts w:ascii="Cambria Math" w:hAnsi="Cambria Math"/>
              </w:rPr>
            </m:ctrlPr>
          </m:fPr>
          <m:num>
            <m:r>
              <w:rPr>
                <w:rFonts w:ascii="Cambria Math" w:hAnsi="Cambria Math"/>
              </w:rPr>
              <m:t>2×N×</m:t>
            </m:r>
            <m:sSub>
              <m:sSubPr>
                <m:ctrlPr>
                  <w:rPr>
                    <w:rFonts w:ascii="Cambria Math" w:hAnsi="Cambria Math"/>
                  </w:rPr>
                </m:ctrlPr>
              </m:sSubPr>
              <m:e>
                <m:r>
                  <w:rPr>
                    <w:rFonts w:ascii="Cambria Math" w:hAnsi="Cambria Math"/>
                  </w:rPr>
                  <m:t>T</m:t>
                </m:r>
              </m:e>
              <m:sub>
                <m:r>
                  <w:rPr>
                    <w:rFonts w:ascii="Cambria Math" w:hAnsi="Cambria Math"/>
                  </w:rPr>
                  <m:t>on</m:t>
                </m:r>
              </m:sub>
            </m:sSub>
          </m:num>
          <m:den>
            <m:sSub>
              <m:sSubPr>
                <m:ctrlPr>
                  <w:rPr>
                    <w:rFonts w:ascii="Cambria Math" w:hAnsi="Cambria Math"/>
                  </w:rPr>
                </m:ctrlPr>
              </m:sSubPr>
              <m:e>
                <m:r>
                  <w:rPr>
                    <w:rFonts w:ascii="Cambria Math" w:hAnsi="Cambria Math"/>
                  </w:rPr>
                  <m:t>T</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e>
                    </m:d>
                  </m:e>
                  <m:sup>
                    <m:r>
                      <w:rPr>
                        <w:rFonts w:ascii="Cambria Math" w:hAnsi="Cambria Math"/>
                      </w:rPr>
                      <m:t>2</m:t>
                    </m:r>
                  </m:sup>
                </m:sSup>
                <m:r>
                  <w:rPr>
                    <w:rFonts w:ascii="Cambria Math" w:hAnsi="Cambria Math"/>
                  </w:rPr>
                  <m:t>+4×</m:t>
                </m:r>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e>
            </m:rad>
          </m:den>
        </m:f>
      </m:oMath>
      <w:r w:rsidRPr="00445DD4">
        <w:tab/>
        <w:t>(</w:t>
      </w:r>
      <w:bookmarkStart w:id="327" w:name="EQ_CL12_reactive"/>
      <w:r w:rsidRPr="00445DD4">
        <w:fldChar w:fldCharType="begin"/>
      </w:r>
      <w:r w:rsidRPr="00445DD4">
        <w:instrText xml:space="preserve"> SEQ Eq \* MERGEFORMAT </w:instrText>
      </w:r>
      <w:r w:rsidRPr="00445DD4">
        <w:fldChar w:fldCharType="separate"/>
      </w:r>
      <w:r>
        <w:t>29</w:t>
      </w:r>
      <w:r w:rsidRPr="00445DD4">
        <w:fldChar w:fldCharType="end"/>
      </w:r>
      <w:bookmarkEnd w:id="327"/>
      <w:r w:rsidRPr="00445DD4">
        <w:t>)</w:t>
      </w:r>
    </w:p>
    <w:p w14:paraId="7586AE5D" w14:textId="77777777" w:rsidR="009042C0" w:rsidRDefault="009042C0" w:rsidP="009042C0">
      <w:r>
        <w:t>As a result of the quadratic equation </w:t>
      </w:r>
      <w:r>
        <w:fldChar w:fldCharType="begin"/>
      </w:r>
      <w:r>
        <w:instrText xml:space="preserve"> REF EQ_Toff_equilibrium_quadratic \h </w:instrText>
      </w:r>
      <w:r>
        <w:fldChar w:fldCharType="separate"/>
      </w:r>
      <w:r>
        <w:rPr>
          <w:noProof/>
        </w:rPr>
        <w:t>27</w:t>
      </w:r>
      <w:r>
        <w:fldChar w:fldCharType="end"/>
      </w:r>
      <w:r>
        <w:t xml:space="preserve"> there are two channel load equilibrium </w:t>
      </w:r>
      <m:oMath>
        <m:acc>
          <m:accPr>
            <m:chr m:val="̃"/>
            <m:ctrlPr>
              <w:rPr>
                <w:rFonts w:ascii="Cambria Math" w:hAnsi="Cambria Math"/>
                <w:i/>
              </w:rPr>
            </m:ctrlPr>
          </m:accPr>
          <m:e>
            <m:r>
              <w:rPr>
                <w:rFonts w:ascii="Cambria Math" w:hAnsi="Cambria Math"/>
              </w:rPr>
              <m:t>CL</m:t>
            </m:r>
          </m:e>
        </m:acc>
      </m:oMath>
      <w:r>
        <w:t xml:space="preserve"> solutions given by equation </w:t>
      </w:r>
      <w:r>
        <w:fldChar w:fldCharType="begin"/>
      </w:r>
      <w:r>
        <w:instrText xml:space="preserve"> REF EQ_CL12_reactive \h </w:instrText>
      </w:r>
      <w:r>
        <w:fldChar w:fldCharType="separate"/>
      </w:r>
      <w:r>
        <w:rPr>
          <w:noProof/>
        </w:rPr>
        <w:t>29</w:t>
      </w:r>
      <w:r>
        <w:fldChar w:fldCharType="end"/>
      </w:r>
      <w:r>
        <w:t xml:space="preserve">. For the control stability this requires that only one </w:t>
      </w:r>
      <m:oMath>
        <m:acc>
          <m:accPr>
            <m:chr m:val="̃"/>
            <m:ctrlPr>
              <w:rPr>
                <w:rFonts w:ascii="Cambria Math" w:hAnsi="Cambria Math"/>
                <w:i/>
              </w:rPr>
            </m:ctrlPr>
          </m:accPr>
          <m:e>
            <m:r>
              <w:rPr>
                <w:rFonts w:ascii="Cambria Math" w:hAnsi="Cambria Math"/>
              </w:rPr>
              <m:t>CL</m:t>
            </m:r>
          </m:e>
        </m:acc>
      </m:oMath>
      <w:r>
        <w:t xml:space="preserve"> solution lies within the channel load boundaries of 0&lt;</w:t>
      </w:r>
      <w:r>
        <w:rPr>
          <w:i/>
        </w:rPr>
        <w:t>CL</w:t>
      </w:r>
      <w:r>
        <w:t>&lt;1 and an analysis of the convergence within this channel load range is necessary.</w:t>
      </w:r>
    </w:p>
    <w:p w14:paraId="4ADC15CD" w14:textId="53A2D4B2" w:rsidR="009042C0" w:rsidRDefault="009042C0" w:rsidP="009042C0">
      <w:r>
        <w:t>As an example, from Table A.1 and Table A.2 in [</w:t>
      </w:r>
      <w:r w:rsidRPr="00436A20">
        <w:t>ETSI</w:t>
      </w:r>
      <w:r>
        <w:t> </w:t>
      </w:r>
      <w:r w:rsidRPr="00436A20">
        <w:t>TS</w:t>
      </w:r>
      <w:r>
        <w:t> </w:t>
      </w:r>
      <w:r w:rsidRPr="00436A20">
        <w:t>102</w:t>
      </w:r>
      <w:r>
        <w:t> </w:t>
      </w:r>
      <w:r w:rsidRPr="00436A20">
        <w:t>687</w:t>
      </w:r>
      <w:r>
        <w:t> </w:t>
      </w:r>
      <w:r w:rsidRPr="00436A20">
        <w:t>V1.2.1</w:t>
      </w:r>
      <w:r>
        <w:t xml:space="preserve">] the parameters </w:t>
      </w:r>
      <w:r w:rsidRPr="008757CE">
        <w:rPr>
          <w:i/>
        </w:rPr>
        <w:t>T</w:t>
      </w:r>
      <w:r w:rsidRPr="008757CE">
        <w:rPr>
          <w:i/>
          <w:vertAlign w:val="subscript"/>
        </w:rPr>
        <w:t>a</w:t>
      </w:r>
      <w:r>
        <w:t xml:space="preserve"> and </w:t>
      </w:r>
      <w:r w:rsidRPr="008757CE">
        <w:rPr>
          <w:i/>
        </w:rPr>
        <w:t>T</w:t>
      </w:r>
      <w:r w:rsidRPr="008757CE">
        <w:rPr>
          <w:i/>
          <w:vertAlign w:val="subscript"/>
        </w:rPr>
        <w:t>b</w:t>
      </w:r>
      <w:r>
        <w:t xml:space="preserve"> that fit best to the table entries can be calculated by a linear regression as shown in </w:t>
      </w:r>
      <w:r>
        <w:fldChar w:fldCharType="begin"/>
      </w:r>
      <w:r>
        <w:instrText xml:space="preserve"> REF _Ref191551665 \h </w:instrText>
      </w:r>
      <w:r>
        <w:fldChar w:fldCharType="separate"/>
      </w:r>
      <w:r w:rsidR="00D22235" w:rsidRPr="00445DD4">
        <w:t xml:space="preserve">Figure </w:t>
      </w:r>
      <w:r w:rsidR="00D22235">
        <w:rPr>
          <w:noProof/>
        </w:rPr>
        <w:t>21</w:t>
      </w:r>
      <w:r>
        <w:fldChar w:fldCharType="end"/>
      </w:r>
      <w:r>
        <w:t xml:space="preserve"> and </w:t>
      </w:r>
      <w:r>
        <w:fldChar w:fldCharType="begin"/>
      </w:r>
      <w:r>
        <w:instrText xml:space="preserve"> REF _Ref191551674 \h </w:instrText>
      </w:r>
      <w:r>
        <w:fldChar w:fldCharType="separate"/>
      </w:r>
      <w:r w:rsidR="00D22235" w:rsidRPr="00445DD4">
        <w:t xml:space="preserve">Figure </w:t>
      </w:r>
      <w:r w:rsidR="00D22235">
        <w:rPr>
          <w:noProof/>
        </w:rPr>
        <w:t>22</w:t>
      </w:r>
      <w:r>
        <w:fldChar w:fldCharType="end"/>
      </w:r>
      <w:r>
        <w:t xml:space="preserve">. The results are listed in </w:t>
      </w:r>
      <w:r>
        <w:fldChar w:fldCharType="begin"/>
      </w:r>
      <w:r>
        <w:instrText xml:space="preserve"> REF _Ref191556164 \h </w:instrText>
      </w:r>
      <w:r>
        <w:fldChar w:fldCharType="separate"/>
      </w:r>
      <w:r>
        <w:t>Table </w:t>
      </w:r>
      <w:r>
        <w:rPr>
          <w:noProof/>
        </w:rPr>
        <w:t>1</w:t>
      </w:r>
      <w:r>
        <w:fldChar w:fldCharType="end"/>
      </w:r>
      <w:r>
        <w:t>.</w:t>
      </w:r>
    </w:p>
    <w:p w14:paraId="783D4897" w14:textId="77777777" w:rsidR="009042C0" w:rsidRDefault="009042C0" w:rsidP="009042C0">
      <w:pPr>
        <w:pStyle w:val="FL"/>
      </w:pPr>
      <w:r w:rsidRPr="000934E9">
        <w:rPr>
          <w:noProof/>
          <w:lang w:val="it-IT" w:eastAsia="it-IT"/>
        </w:rPr>
        <w:drawing>
          <wp:inline distT="0" distB="0" distL="0" distR="0" wp14:anchorId="3E14C114" wp14:editId="3D3FE8EB">
            <wp:extent cx="4496437" cy="2592000"/>
            <wp:effectExtent l="0" t="0" r="0" b="0"/>
            <wp:docPr id="190839118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786" t="2618" r="934" b="3055"/>
                    <a:stretch/>
                  </pic:blipFill>
                  <pic:spPr bwMode="auto">
                    <a:xfrm>
                      <a:off x="0" y="0"/>
                      <a:ext cx="4500193" cy="2594165"/>
                    </a:xfrm>
                    <a:prstGeom prst="rect">
                      <a:avLst/>
                    </a:prstGeom>
                    <a:noFill/>
                    <a:ln>
                      <a:noFill/>
                    </a:ln>
                    <a:extLst>
                      <a:ext uri="{53640926-AAD7-44D8-BBD7-CCE9431645EC}">
                        <a14:shadowObscured xmlns:a14="http://schemas.microsoft.com/office/drawing/2010/main"/>
                      </a:ext>
                    </a:extLst>
                  </pic:spPr>
                </pic:pic>
              </a:graphicData>
            </a:graphic>
          </wp:inline>
        </w:drawing>
      </w:r>
    </w:p>
    <w:p w14:paraId="6216B101" w14:textId="28C69E70" w:rsidR="009042C0" w:rsidRDefault="009042C0" w:rsidP="009042C0">
      <w:pPr>
        <w:pStyle w:val="TF"/>
      </w:pPr>
      <w:bookmarkStart w:id="328" w:name="_Ref191551665"/>
      <w:r w:rsidRPr="00445DD4">
        <w:t xml:space="preserve">Figure </w:t>
      </w:r>
      <w:r w:rsidR="00115785">
        <w:fldChar w:fldCharType="begin"/>
      </w:r>
      <w:r w:rsidR="00115785">
        <w:instrText xml:space="preserve"> SEQ Figure \* ARABIC </w:instrText>
      </w:r>
      <w:r w:rsidR="00115785">
        <w:fldChar w:fldCharType="separate"/>
      </w:r>
      <w:r w:rsidR="00115785">
        <w:rPr>
          <w:noProof/>
        </w:rPr>
        <w:t>21</w:t>
      </w:r>
      <w:r w:rsidR="00115785">
        <w:rPr>
          <w:noProof/>
        </w:rPr>
        <w:fldChar w:fldCharType="end"/>
      </w:r>
      <w:bookmarkEnd w:id="328"/>
      <w:r w:rsidRPr="00445DD4">
        <w:tab/>
      </w:r>
      <w:r>
        <w:t>Linear regression of the DCC function given in table A.1 of [</w:t>
      </w:r>
      <w:r w:rsidRPr="00436A20">
        <w:t>ETSI</w:t>
      </w:r>
      <w:r>
        <w:t> </w:t>
      </w:r>
      <w:r w:rsidRPr="00436A20">
        <w:t>TS</w:t>
      </w:r>
      <w:r>
        <w:t> </w:t>
      </w:r>
      <w:r w:rsidRPr="00436A20">
        <w:t>102</w:t>
      </w:r>
      <w:r>
        <w:t> </w:t>
      </w:r>
      <w:r w:rsidRPr="00436A20">
        <w:t>687</w:t>
      </w:r>
      <w:r>
        <w:t> </w:t>
      </w:r>
      <w:r w:rsidRPr="00436A20">
        <w:t>V1.2.1</w:t>
      </w:r>
      <w:r>
        <w:t>]</w:t>
      </w:r>
    </w:p>
    <w:p w14:paraId="1B915FA3" w14:textId="77777777" w:rsidR="009042C0" w:rsidRDefault="009042C0" w:rsidP="009042C0">
      <w:pPr>
        <w:pStyle w:val="FL"/>
      </w:pPr>
      <w:r w:rsidRPr="000934E9">
        <w:rPr>
          <w:noProof/>
          <w:lang w:val="it-IT" w:eastAsia="it-IT"/>
        </w:rPr>
        <w:drawing>
          <wp:inline distT="0" distB="0" distL="0" distR="0" wp14:anchorId="57D7523E" wp14:editId="7A7AEA50">
            <wp:extent cx="4428000" cy="2590460"/>
            <wp:effectExtent l="0" t="0" r="0" b="635"/>
            <wp:docPr id="137953892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571" t="2857" r="1612" b="2839"/>
                    <a:stretch/>
                  </pic:blipFill>
                  <pic:spPr bwMode="auto">
                    <a:xfrm>
                      <a:off x="0" y="0"/>
                      <a:ext cx="4433237" cy="2593524"/>
                    </a:xfrm>
                    <a:prstGeom prst="rect">
                      <a:avLst/>
                    </a:prstGeom>
                    <a:noFill/>
                    <a:ln>
                      <a:noFill/>
                    </a:ln>
                    <a:extLst>
                      <a:ext uri="{53640926-AAD7-44D8-BBD7-CCE9431645EC}">
                        <a14:shadowObscured xmlns:a14="http://schemas.microsoft.com/office/drawing/2010/main"/>
                      </a:ext>
                    </a:extLst>
                  </pic:spPr>
                </pic:pic>
              </a:graphicData>
            </a:graphic>
          </wp:inline>
        </w:drawing>
      </w:r>
    </w:p>
    <w:p w14:paraId="330EB5C0" w14:textId="66B8E622" w:rsidR="009042C0" w:rsidRDefault="009042C0" w:rsidP="009042C0">
      <w:pPr>
        <w:pStyle w:val="TF"/>
      </w:pPr>
      <w:bookmarkStart w:id="329" w:name="_Ref191551674"/>
      <w:r w:rsidRPr="00445DD4">
        <w:t xml:space="preserve">Figure </w:t>
      </w:r>
      <w:r w:rsidR="00115785">
        <w:fldChar w:fldCharType="begin"/>
      </w:r>
      <w:r w:rsidR="00115785">
        <w:instrText xml:space="preserve"> SEQ Figure \* ARABIC </w:instrText>
      </w:r>
      <w:r w:rsidR="00115785">
        <w:fldChar w:fldCharType="separate"/>
      </w:r>
      <w:r w:rsidR="00115785">
        <w:rPr>
          <w:noProof/>
        </w:rPr>
        <w:t>22</w:t>
      </w:r>
      <w:r w:rsidR="00115785">
        <w:rPr>
          <w:noProof/>
        </w:rPr>
        <w:fldChar w:fldCharType="end"/>
      </w:r>
      <w:bookmarkEnd w:id="329"/>
      <w:r w:rsidRPr="00445DD4">
        <w:tab/>
      </w:r>
      <w:r>
        <w:t>Linear regression of the DCC function given in table A.2 of [</w:t>
      </w:r>
      <w:r w:rsidRPr="00436A20">
        <w:t>ETSI</w:t>
      </w:r>
      <w:r>
        <w:t> </w:t>
      </w:r>
      <w:r w:rsidRPr="00436A20">
        <w:t>TS</w:t>
      </w:r>
      <w:r>
        <w:t> </w:t>
      </w:r>
      <w:r w:rsidRPr="00436A20">
        <w:t>102</w:t>
      </w:r>
      <w:r>
        <w:t> </w:t>
      </w:r>
      <w:r w:rsidRPr="00436A20">
        <w:t>687</w:t>
      </w:r>
      <w:r>
        <w:t> </w:t>
      </w:r>
      <w:r w:rsidRPr="00436A20">
        <w:t>V1.2.1</w:t>
      </w:r>
      <w:r>
        <w:t>]</w:t>
      </w:r>
    </w:p>
    <w:p w14:paraId="565F4FCE" w14:textId="77777777" w:rsidR="009042C0" w:rsidRPr="009B1E07" w:rsidRDefault="009042C0" w:rsidP="009042C0">
      <w:pPr>
        <w:pStyle w:val="TH"/>
      </w:pPr>
      <w:bookmarkStart w:id="330" w:name="_Ref191556164"/>
      <w:r>
        <w:t>Table </w:t>
      </w:r>
      <w:r>
        <w:fldChar w:fldCharType="begin"/>
      </w:r>
      <w:r>
        <w:instrText xml:space="preserve"> SEQ Table \* ARABIC </w:instrText>
      </w:r>
      <w:r>
        <w:fldChar w:fldCharType="separate"/>
      </w:r>
      <w:r>
        <w:rPr>
          <w:noProof/>
        </w:rPr>
        <w:t>1</w:t>
      </w:r>
      <w:r>
        <w:rPr>
          <w:noProof/>
        </w:rPr>
        <w:fldChar w:fldCharType="end"/>
      </w:r>
      <w:bookmarkEnd w:id="330"/>
      <w:r>
        <w:tab/>
        <w:t xml:space="preserve">Parameters </w:t>
      </w:r>
      <w:r w:rsidRPr="001571C1">
        <w:rPr>
          <w:i/>
        </w:rPr>
        <w:t>T</w:t>
      </w:r>
      <w:r w:rsidRPr="001571C1">
        <w:rPr>
          <w:i/>
          <w:vertAlign w:val="subscript"/>
        </w:rPr>
        <w:t>a</w:t>
      </w:r>
      <w:r>
        <w:t xml:space="preserve"> and </w:t>
      </w:r>
      <w:r w:rsidRPr="001571C1">
        <w:rPr>
          <w:i/>
        </w:rPr>
        <w:t>T</w:t>
      </w:r>
      <w:r w:rsidRPr="001571C1">
        <w:rPr>
          <w:i/>
          <w:vertAlign w:val="subscript"/>
        </w:rPr>
        <w:t>b</w:t>
      </w:r>
      <w:r>
        <w:t xml:space="preserve"> derived from [</w:t>
      </w:r>
      <w:r w:rsidRPr="00436A20">
        <w:t>ETSI</w:t>
      </w:r>
      <w:r>
        <w:t> </w:t>
      </w:r>
      <w:r w:rsidRPr="00436A20">
        <w:t>TS</w:t>
      </w:r>
      <w:r>
        <w:t> </w:t>
      </w:r>
      <w:r w:rsidRPr="00436A20">
        <w:t>102</w:t>
      </w:r>
      <w:r>
        <w:t> </w:t>
      </w:r>
      <w:r w:rsidRPr="00436A20">
        <w:t>687</w:t>
      </w:r>
      <w:r>
        <w:t> </w:t>
      </w:r>
      <w:r w:rsidRPr="00436A20">
        <w:t>V1.2.1</w:t>
      </w:r>
      <w:r>
        <w:t>]</w:t>
      </w:r>
    </w:p>
    <w:tbl>
      <w:tblPr>
        <w:tblStyle w:val="TableGrid"/>
        <w:tblW w:w="0" w:type="auto"/>
        <w:jc w:val="center"/>
        <w:tblLook w:val="04A0" w:firstRow="1" w:lastRow="0" w:firstColumn="1" w:lastColumn="0" w:noHBand="0" w:noVBand="1"/>
      </w:tblPr>
      <w:tblGrid>
        <w:gridCol w:w="1306"/>
        <w:gridCol w:w="1459"/>
        <w:gridCol w:w="1954"/>
      </w:tblGrid>
      <w:tr w:rsidR="009042C0" w14:paraId="3DB27852" w14:textId="77777777" w:rsidTr="003E1F79">
        <w:trPr>
          <w:jc w:val="center"/>
        </w:trPr>
        <w:tc>
          <w:tcPr>
            <w:tcW w:w="1306" w:type="dxa"/>
          </w:tcPr>
          <w:p w14:paraId="21856F80" w14:textId="77777777" w:rsidR="009042C0" w:rsidRDefault="009042C0" w:rsidP="003E1F79">
            <w:pPr>
              <w:pStyle w:val="TAH"/>
            </w:pPr>
            <w:r>
              <w:t>Parameter</w:t>
            </w:r>
          </w:p>
        </w:tc>
        <w:tc>
          <w:tcPr>
            <w:tcW w:w="1459" w:type="dxa"/>
          </w:tcPr>
          <w:p w14:paraId="171336ED" w14:textId="77777777" w:rsidR="009042C0" w:rsidRDefault="009042C0" w:rsidP="003E1F79">
            <w:pPr>
              <w:pStyle w:val="TAH"/>
            </w:pPr>
            <w:r>
              <w:rPr>
                <w:i/>
              </w:rPr>
              <w:t>T</w:t>
            </w:r>
            <w:r>
              <w:rPr>
                <w:i/>
                <w:vertAlign w:val="subscript"/>
              </w:rPr>
              <w:t>on</w:t>
            </w:r>
            <w:r>
              <w:t xml:space="preserve"> &lt; 0,5 ms</w:t>
            </w:r>
          </w:p>
        </w:tc>
        <w:tc>
          <w:tcPr>
            <w:tcW w:w="1954" w:type="dxa"/>
          </w:tcPr>
          <w:p w14:paraId="572EE921" w14:textId="77777777" w:rsidR="009042C0" w:rsidRDefault="009042C0" w:rsidP="003E1F79">
            <w:pPr>
              <w:pStyle w:val="TAH"/>
            </w:pPr>
            <w:r w:rsidRPr="0075297E">
              <w:t xml:space="preserve">0,5 ms </w:t>
            </w:r>
            <w:r>
              <w:sym w:font="Symbol" w:char="F0A3"/>
            </w:r>
            <w:r>
              <w:t xml:space="preserve"> </w:t>
            </w:r>
            <w:r>
              <w:rPr>
                <w:i/>
              </w:rPr>
              <w:t>T</w:t>
            </w:r>
            <w:r>
              <w:rPr>
                <w:i/>
                <w:vertAlign w:val="subscript"/>
              </w:rPr>
              <w:t>on</w:t>
            </w:r>
            <w:r>
              <w:t xml:space="preserve"> </w:t>
            </w:r>
            <w:r w:rsidRPr="0075297E">
              <w:sym w:font="Symbol" w:char="F0A3"/>
            </w:r>
            <w:r>
              <w:t xml:space="preserve"> 1 ms</w:t>
            </w:r>
          </w:p>
        </w:tc>
      </w:tr>
      <w:tr w:rsidR="009042C0" w14:paraId="45BBEFAE" w14:textId="77777777" w:rsidTr="003E1F79">
        <w:trPr>
          <w:jc w:val="center"/>
        </w:trPr>
        <w:tc>
          <w:tcPr>
            <w:tcW w:w="1306" w:type="dxa"/>
          </w:tcPr>
          <w:p w14:paraId="02BEB9C2" w14:textId="77777777" w:rsidR="009042C0" w:rsidRDefault="009042C0" w:rsidP="003E1F79">
            <w:pPr>
              <w:pStyle w:val="TAH"/>
            </w:pPr>
            <w:r w:rsidRPr="001571C1">
              <w:rPr>
                <w:i/>
              </w:rPr>
              <w:t>T</w:t>
            </w:r>
            <w:r w:rsidRPr="001571C1">
              <w:rPr>
                <w:i/>
                <w:vertAlign w:val="subscript"/>
              </w:rPr>
              <w:t>a</w:t>
            </w:r>
            <w:r>
              <w:t xml:space="preserve"> </w:t>
            </w:r>
          </w:p>
        </w:tc>
        <w:tc>
          <w:tcPr>
            <w:tcW w:w="1459" w:type="dxa"/>
          </w:tcPr>
          <w:p w14:paraId="69E90464" w14:textId="77777777" w:rsidR="009042C0" w:rsidRDefault="009042C0" w:rsidP="003E1F79">
            <w:pPr>
              <w:pStyle w:val="TAR"/>
              <w:ind w:right="111"/>
            </w:pPr>
            <w:r>
              <w:t>598 ms</w:t>
            </w:r>
          </w:p>
        </w:tc>
        <w:tc>
          <w:tcPr>
            <w:tcW w:w="1954" w:type="dxa"/>
          </w:tcPr>
          <w:p w14:paraId="2B5A6405" w14:textId="77777777" w:rsidR="009042C0" w:rsidRDefault="009042C0" w:rsidP="003E1F79">
            <w:pPr>
              <w:pStyle w:val="TAR"/>
              <w:ind w:right="84"/>
            </w:pPr>
            <w:r>
              <w:t>1295 ms</w:t>
            </w:r>
          </w:p>
        </w:tc>
      </w:tr>
      <w:tr w:rsidR="009042C0" w14:paraId="2756A3D2" w14:textId="77777777" w:rsidTr="003E1F79">
        <w:trPr>
          <w:jc w:val="center"/>
        </w:trPr>
        <w:tc>
          <w:tcPr>
            <w:tcW w:w="1306" w:type="dxa"/>
          </w:tcPr>
          <w:p w14:paraId="55E6B436" w14:textId="77777777" w:rsidR="009042C0" w:rsidRDefault="009042C0" w:rsidP="003E1F79">
            <w:pPr>
              <w:pStyle w:val="TAH"/>
            </w:pPr>
            <w:r w:rsidRPr="001571C1">
              <w:rPr>
                <w:i/>
              </w:rPr>
              <w:t>T</w:t>
            </w:r>
            <w:r w:rsidRPr="001571C1">
              <w:rPr>
                <w:i/>
                <w:vertAlign w:val="subscript"/>
              </w:rPr>
              <w:t>b</w:t>
            </w:r>
          </w:p>
        </w:tc>
        <w:tc>
          <w:tcPr>
            <w:tcW w:w="1459" w:type="dxa"/>
          </w:tcPr>
          <w:p w14:paraId="0E9C58D5" w14:textId="77777777" w:rsidR="009042C0" w:rsidRDefault="009042C0" w:rsidP="003E1F79">
            <w:pPr>
              <w:pStyle w:val="TAR"/>
              <w:ind w:right="111"/>
            </w:pPr>
            <w:r>
              <w:t>-127 ms</w:t>
            </w:r>
          </w:p>
        </w:tc>
        <w:tc>
          <w:tcPr>
            <w:tcW w:w="1954" w:type="dxa"/>
          </w:tcPr>
          <w:p w14:paraId="1F08955C" w14:textId="77777777" w:rsidR="009042C0" w:rsidRDefault="009042C0" w:rsidP="003E1F79">
            <w:pPr>
              <w:pStyle w:val="TAR"/>
              <w:ind w:right="84"/>
            </w:pPr>
            <w:r>
              <w:t>-285 ms</w:t>
            </w:r>
          </w:p>
        </w:tc>
      </w:tr>
    </w:tbl>
    <w:p w14:paraId="41D76803" w14:textId="77777777" w:rsidR="009042C0" w:rsidRDefault="009042C0" w:rsidP="009042C0"/>
    <w:p w14:paraId="7FBE01D2" w14:textId="4A71092E" w:rsidR="009042C0" w:rsidRDefault="009042C0" w:rsidP="009042C0">
      <w:r>
        <w:fldChar w:fldCharType="begin"/>
      </w:r>
      <w:r>
        <w:instrText xml:space="preserve"> REF _Ref191561090 \h </w:instrText>
      </w:r>
      <w:r>
        <w:fldChar w:fldCharType="separate"/>
      </w:r>
      <w:r w:rsidR="00D22235" w:rsidRPr="00445DD4">
        <w:t xml:space="preserve">Figure </w:t>
      </w:r>
      <w:r w:rsidR="00D22235">
        <w:rPr>
          <w:noProof/>
        </w:rPr>
        <w:t>23</w:t>
      </w:r>
      <w:r>
        <w:fldChar w:fldCharType="end"/>
      </w:r>
      <w:r>
        <w:t xml:space="preserve"> and </w:t>
      </w:r>
      <w:r>
        <w:fldChar w:fldCharType="begin"/>
      </w:r>
      <w:r>
        <w:instrText xml:space="preserve"> REF _Ref191561097 \h </w:instrText>
      </w:r>
      <w:r>
        <w:fldChar w:fldCharType="separate"/>
      </w:r>
      <w:r w:rsidR="00D22235" w:rsidRPr="00445DD4">
        <w:t xml:space="preserve">Figure </w:t>
      </w:r>
      <w:r w:rsidR="00D22235">
        <w:rPr>
          <w:noProof/>
        </w:rPr>
        <w:t>24</w:t>
      </w:r>
      <w:r>
        <w:fldChar w:fldCharType="end"/>
      </w:r>
      <w:r>
        <w:t xml:space="preserve"> show the positive channel load equilibria calculated from equation </w:t>
      </w:r>
      <w:r>
        <w:fldChar w:fldCharType="begin"/>
      </w:r>
      <w:r>
        <w:instrText xml:space="preserve"> REF EQ_CL12_reactive \h </w:instrText>
      </w:r>
      <w:r>
        <w:fldChar w:fldCharType="separate"/>
      </w:r>
      <w:r>
        <w:rPr>
          <w:noProof/>
        </w:rPr>
        <w:t>29</w:t>
      </w:r>
      <w:r>
        <w:fldChar w:fldCharType="end"/>
      </w:r>
      <w:r>
        <w:t xml:space="preserve"> as function of the node number </w:t>
      </w:r>
      <w:r w:rsidRPr="008757CE">
        <w:rPr>
          <w:i/>
        </w:rPr>
        <w:t>N</w:t>
      </w:r>
      <w:r>
        <w:t xml:space="preserve"> and the parameters given in </w:t>
      </w:r>
      <w:r>
        <w:fldChar w:fldCharType="begin"/>
      </w:r>
      <w:r>
        <w:instrText xml:space="preserve"> REF _Ref191556164 \h </w:instrText>
      </w:r>
      <w:r>
        <w:fldChar w:fldCharType="separate"/>
      </w:r>
      <w:r>
        <w:t>Table </w:t>
      </w:r>
      <w:r>
        <w:rPr>
          <w:noProof/>
        </w:rPr>
        <w:t>1</w:t>
      </w:r>
      <w:r>
        <w:fldChar w:fldCharType="end"/>
      </w:r>
      <w:r>
        <w:t xml:space="preserve">. The dashed lines show the results outside the </w:t>
      </w:r>
      <w:r w:rsidRPr="008757CE">
        <w:rPr>
          <w:i/>
        </w:rPr>
        <w:t>T</w:t>
      </w:r>
      <w:r w:rsidRPr="008757CE">
        <w:rPr>
          <w:i/>
          <w:vertAlign w:val="subscript"/>
        </w:rPr>
        <w:t>on</w:t>
      </w:r>
      <w:r>
        <w:t xml:space="preserve"> range to show that these results either over utilize or </w:t>
      </w:r>
      <w:r w:rsidR="00183025">
        <w:t>underutilize</w:t>
      </w:r>
      <w:r>
        <w:t xml:space="preserve"> the channel for large node numbers. The dotted line is the CBR limit for the example based on [</w:t>
      </w:r>
      <w:r w:rsidRPr="00436A20">
        <w:t>ETSI</w:t>
      </w:r>
      <w:r>
        <w:t> </w:t>
      </w:r>
      <w:r w:rsidRPr="00F84064">
        <w:t>EN</w:t>
      </w:r>
      <w:r>
        <w:t> </w:t>
      </w:r>
      <w:r w:rsidRPr="00F84064">
        <w:t>303</w:t>
      </w:r>
      <w:r>
        <w:t> </w:t>
      </w:r>
      <w:r w:rsidRPr="00F84064">
        <w:t>797</w:t>
      </w:r>
      <w:r>
        <w:t> </w:t>
      </w:r>
      <w:r w:rsidRPr="00F84064">
        <w:t>V2.1.1</w:t>
      </w:r>
      <w:r>
        <w:t>] shown in</w:t>
      </w:r>
      <w:r w:rsidR="00D22235">
        <w:t xml:space="preserve"> </w:t>
      </w:r>
      <w:r w:rsidR="00D22235">
        <w:fldChar w:fldCharType="begin"/>
      </w:r>
      <w:r w:rsidR="00D22235">
        <w:instrText xml:space="preserve"> REF _Ref191561090 \h </w:instrText>
      </w:r>
      <w:r w:rsidR="00D22235">
        <w:fldChar w:fldCharType="separate"/>
      </w:r>
      <w:r w:rsidR="00D22235" w:rsidRPr="00445DD4">
        <w:t xml:space="preserve">Figure </w:t>
      </w:r>
      <w:r w:rsidR="00D22235">
        <w:rPr>
          <w:noProof/>
        </w:rPr>
        <w:t>23</w:t>
      </w:r>
      <w:r w:rsidR="00D22235">
        <w:fldChar w:fldCharType="end"/>
      </w:r>
      <w:r>
        <w:t>.</w:t>
      </w:r>
    </w:p>
    <w:p w14:paraId="3758C11D" w14:textId="77777777" w:rsidR="009042C0" w:rsidRDefault="009042C0" w:rsidP="009042C0">
      <w:pPr>
        <w:pStyle w:val="FL"/>
      </w:pPr>
      <w:r>
        <w:rPr>
          <w:noProof/>
          <w:lang w:val="it-IT" w:eastAsia="it-IT"/>
        </w:rPr>
        <w:drawing>
          <wp:inline distT="0" distB="0" distL="0" distR="0" wp14:anchorId="587BFE70" wp14:editId="27DD06CD">
            <wp:extent cx="4457700" cy="2412000"/>
            <wp:effectExtent l="0" t="0" r="0" b="7620"/>
            <wp:docPr id="85780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80122" name=""/>
                    <pic:cNvPicPr/>
                  </pic:nvPicPr>
                  <pic:blipFill rotWithShape="1">
                    <a:blip r:embed="rId49">
                      <a:extLst>
                        <a:ext uri="{96DAC541-7B7A-43D3-8B79-37D633B846F1}">
                          <asvg:svgBlip xmlns:asvg="http://schemas.microsoft.com/office/drawing/2016/SVG/main" r:embed="rId50"/>
                        </a:ext>
                      </a:extLst>
                    </a:blip>
                    <a:srcRect l="785" t="10460" r="1757" b="1769"/>
                    <a:stretch/>
                  </pic:blipFill>
                  <pic:spPr bwMode="auto">
                    <a:xfrm>
                      <a:off x="0" y="0"/>
                      <a:ext cx="4465030" cy="2415966"/>
                    </a:xfrm>
                    <a:prstGeom prst="rect">
                      <a:avLst/>
                    </a:prstGeom>
                    <a:ln>
                      <a:noFill/>
                    </a:ln>
                    <a:extLst>
                      <a:ext uri="{53640926-AAD7-44D8-BBD7-CCE9431645EC}">
                        <a14:shadowObscured xmlns:a14="http://schemas.microsoft.com/office/drawing/2010/main"/>
                      </a:ext>
                    </a:extLst>
                  </pic:spPr>
                </pic:pic>
              </a:graphicData>
            </a:graphic>
          </wp:inline>
        </w:drawing>
      </w:r>
    </w:p>
    <w:p w14:paraId="62F537B2" w14:textId="2E247DC7" w:rsidR="009042C0" w:rsidRPr="0075297E" w:rsidRDefault="009042C0" w:rsidP="009042C0">
      <w:pPr>
        <w:pStyle w:val="TF"/>
      </w:pPr>
      <w:bookmarkStart w:id="331" w:name="_Ref191561090"/>
      <w:bookmarkStart w:id="332" w:name="_Ref191561083"/>
      <w:r w:rsidRPr="00445DD4">
        <w:t xml:space="preserve">Figure </w:t>
      </w:r>
      <w:r w:rsidR="00115785">
        <w:fldChar w:fldCharType="begin"/>
      </w:r>
      <w:r w:rsidR="00115785">
        <w:instrText xml:space="preserve"> SEQ Figure \* ARABIC </w:instrText>
      </w:r>
      <w:r w:rsidR="00115785">
        <w:fldChar w:fldCharType="separate"/>
      </w:r>
      <w:r w:rsidR="00115785">
        <w:rPr>
          <w:noProof/>
        </w:rPr>
        <w:t>23</w:t>
      </w:r>
      <w:r w:rsidR="00115785">
        <w:rPr>
          <w:noProof/>
        </w:rPr>
        <w:fldChar w:fldCharType="end"/>
      </w:r>
      <w:bookmarkEnd w:id="331"/>
      <w:r w:rsidRPr="00445DD4">
        <w:tab/>
      </w:r>
      <w:r>
        <w:t xml:space="preserve">Equilibrium channel load of reactive congestion control for </w:t>
      </w:r>
      <w:r w:rsidRPr="001571C1">
        <w:rPr>
          <w:i/>
        </w:rPr>
        <w:t>T</w:t>
      </w:r>
      <w:r w:rsidRPr="001571C1">
        <w:rPr>
          <w:i/>
          <w:vertAlign w:val="subscript"/>
        </w:rPr>
        <w:t>a</w:t>
      </w:r>
      <w:r>
        <w:t xml:space="preserve"> and </w:t>
      </w:r>
      <w:r w:rsidRPr="001571C1">
        <w:rPr>
          <w:i/>
        </w:rPr>
        <w:t>T</w:t>
      </w:r>
      <w:r>
        <w:rPr>
          <w:i/>
          <w:vertAlign w:val="subscript"/>
        </w:rPr>
        <w:t>b</w:t>
      </w:r>
      <w:r>
        <w:t xml:space="preserve"> from </w:t>
      </w:r>
      <w:r>
        <w:fldChar w:fldCharType="begin"/>
      </w:r>
      <w:r>
        <w:instrText xml:space="preserve"> REF _Ref191556164 \h </w:instrText>
      </w:r>
      <w:r>
        <w:fldChar w:fldCharType="separate"/>
      </w:r>
      <w:r>
        <w:t>Table </w:t>
      </w:r>
      <w:r>
        <w:rPr>
          <w:noProof/>
        </w:rPr>
        <w:t>1</w:t>
      </w:r>
      <w:r>
        <w:fldChar w:fldCharType="end"/>
      </w:r>
      <w:r>
        <w:t xml:space="preserve"> </w:t>
      </w:r>
      <w:r>
        <w:br/>
      </w:r>
      <w:r w:rsidRPr="0075297E">
        <w:t>for 0,5 ms &lt;</w:t>
      </w:r>
      <w:r w:rsidRPr="0075297E">
        <w:rPr>
          <w:i/>
          <w:iCs/>
        </w:rPr>
        <w:t>T</w:t>
      </w:r>
      <w:r w:rsidRPr="0075297E">
        <w:rPr>
          <w:i/>
          <w:iCs/>
          <w:vertAlign w:val="subscript"/>
        </w:rPr>
        <w:t xml:space="preserve">on </w:t>
      </w:r>
      <w:r w:rsidRPr="0075297E">
        <w:sym w:font="Symbol" w:char="F0A3"/>
      </w:r>
      <w:r w:rsidRPr="0075297E">
        <w:t xml:space="preserve"> 1 ms</w:t>
      </w:r>
      <w:bookmarkEnd w:id="332"/>
    </w:p>
    <w:p w14:paraId="74669069" w14:textId="77777777" w:rsidR="009042C0" w:rsidRDefault="009042C0" w:rsidP="009042C0">
      <w:pPr>
        <w:pStyle w:val="FL"/>
      </w:pPr>
      <w:r>
        <w:rPr>
          <w:noProof/>
          <w:lang w:val="it-IT" w:eastAsia="it-IT"/>
        </w:rPr>
        <w:drawing>
          <wp:inline distT="0" distB="0" distL="0" distR="0" wp14:anchorId="655AA077" wp14:editId="60CAE5B2">
            <wp:extent cx="4464000" cy="2411095"/>
            <wp:effectExtent l="0" t="0" r="0" b="8255"/>
            <wp:docPr id="13662924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292496" name=""/>
                    <pic:cNvPicPr/>
                  </pic:nvPicPr>
                  <pic:blipFill rotWithShape="1">
                    <a:blip r:embed="rId51">
                      <a:extLst>
                        <a:ext uri="{96DAC541-7B7A-43D3-8B79-37D633B846F1}">
                          <asvg:svgBlip xmlns:asvg="http://schemas.microsoft.com/office/drawing/2016/SVG/main" r:embed="rId52"/>
                        </a:ext>
                      </a:extLst>
                    </a:blip>
                    <a:srcRect l="784" t="10462" r="1826" b="1807"/>
                    <a:stretch/>
                  </pic:blipFill>
                  <pic:spPr bwMode="auto">
                    <a:xfrm>
                      <a:off x="0" y="0"/>
                      <a:ext cx="4471241" cy="2415006"/>
                    </a:xfrm>
                    <a:prstGeom prst="rect">
                      <a:avLst/>
                    </a:prstGeom>
                    <a:ln>
                      <a:noFill/>
                    </a:ln>
                    <a:extLst>
                      <a:ext uri="{53640926-AAD7-44D8-BBD7-CCE9431645EC}">
                        <a14:shadowObscured xmlns:a14="http://schemas.microsoft.com/office/drawing/2010/main"/>
                      </a:ext>
                    </a:extLst>
                  </pic:spPr>
                </pic:pic>
              </a:graphicData>
            </a:graphic>
          </wp:inline>
        </w:drawing>
      </w:r>
    </w:p>
    <w:p w14:paraId="1DBF09CD" w14:textId="48FA0420" w:rsidR="009042C0" w:rsidRPr="00D20931" w:rsidRDefault="009042C0" w:rsidP="009042C0">
      <w:pPr>
        <w:pStyle w:val="TF"/>
      </w:pPr>
      <w:bookmarkStart w:id="333" w:name="_Ref191561097"/>
      <w:r w:rsidRPr="00445DD4">
        <w:t xml:space="preserve">Figure </w:t>
      </w:r>
      <w:r w:rsidR="00115785">
        <w:fldChar w:fldCharType="begin"/>
      </w:r>
      <w:r w:rsidR="00115785">
        <w:instrText xml:space="preserve"> SEQ Figure \* ARABIC </w:instrText>
      </w:r>
      <w:r w:rsidR="00115785">
        <w:fldChar w:fldCharType="separate"/>
      </w:r>
      <w:r w:rsidR="00115785">
        <w:rPr>
          <w:noProof/>
        </w:rPr>
        <w:t>24</w:t>
      </w:r>
      <w:r w:rsidR="00115785">
        <w:rPr>
          <w:noProof/>
        </w:rPr>
        <w:fldChar w:fldCharType="end"/>
      </w:r>
      <w:bookmarkEnd w:id="333"/>
      <w:r w:rsidRPr="00445DD4">
        <w:tab/>
      </w:r>
      <w:r>
        <w:t xml:space="preserve">Equilibrium channel load of reactive congestion control for </w:t>
      </w:r>
      <w:r w:rsidRPr="001571C1">
        <w:rPr>
          <w:i/>
        </w:rPr>
        <w:t>T</w:t>
      </w:r>
      <w:r w:rsidRPr="001571C1">
        <w:rPr>
          <w:i/>
          <w:vertAlign w:val="subscript"/>
        </w:rPr>
        <w:t>a</w:t>
      </w:r>
      <w:r>
        <w:t xml:space="preserve"> and </w:t>
      </w:r>
      <w:r w:rsidRPr="001571C1">
        <w:rPr>
          <w:i/>
        </w:rPr>
        <w:t>T</w:t>
      </w:r>
      <w:r>
        <w:rPr>
          <w:i/>
          <w:vertAlign w:val="subscript"/>
        </w:rPr>
        <w:t>b</w:t>
      </w:r>
      <w:r>
        <w:t xml:space="preserve"> from </w:t>
      </w:r>
      <w:r>
        <w:fldChar w:fldCharType="begin"/>
      </w:r>
      <w:r>
        <w:instrText xml:space="preserve"> REF _Ref191556164 \h </w:instrText>
      </w:r>
      <w:r>
        <w:fldChar w:fldCharType="separate"/>
      </w:r>
      <w:r>
        <w:t>Table </w:t>
      </w:r>
      <w:r>
        <w:rPr>
          <w:noProof/>
        </w:rPr>
        <w:t>1</w:t>
      </w:r>
      <w:r>
        <w:fldChar w:fldCharType="end"/>
      </w:r>
      <w:r>
        <w:t xml:space="preserve"> </w:t>
      </w:r>
      <w:r>
        <w:br/>
      </w:r>
      <w:r w:rsidRPr="0075297E">
        <w:t xml:space="preserve">for </w:t>
      </w:r>
      <w:r w:rsidRPr="0075297E">
        <w:rPr>
          <w:i/>
          <w:iCs/>
        </w:rPr>
        <w:t>T</w:t>
      </w:r>
      <w:r w:rsidRPr="0075297E">
        <w:rPr>
          <w:i/>
          <w:iCs/>
          <w:vertAlign w:val="subscript"/>
        </w:rPr>
        <w:t>on</w:t>
      </w:r>
      <w:r w:rsidRPr="0075297E">
        <w:t xml:space="preserve"> </w:t>
      </w:r>
      <w:r w:rsidRPr="0075297E">
        <w:sym w:font="Symbol" w:char="F0A3"/>
      </w:r>
      <w:r>
        <w:t xml:space="preserve"> </w:t>
      </w:r>
      <w:r w:rsidRPr="0075297E">
        <w:t>0,5 ms</w:t>
      </w:r>
    </w:p>
    <w:p w14:paraId="44E7C87A" w14:textId="77777777" w:rsidR="009042C0" w:rsidRDefault="009042C0" w:rsidP="009042C0">
      <w:pPr>
        <w:pStyle w:val="Heading3"/>
      </w:pPr>
      <w:bookmarkStart w:id="334" w:name="_Toc197337078"/>
      <w:r>
        <w:t>C.1.2</w:t>
      </w:r>
      <w:r>
        <w:tab/>
        <w:t>Convergence of the reactive congestion control</w:t>
      </w:r>
      <w:bookmarkEnd w:id="334"/>
    </w:p>
    <w:p w14:paraId="0B02C358" w14:textId="77777777" w:rsidR="009042C0" w:rsidRDefault="009042C0" w:rsidP="009042C0">
      <w:r>
        <w:t>To analyse the convergence, the channel load control function c</w:t>
      </w:r>
      <w:r w:rsidRPr="00C53B80">
        <w:rPr>
          <w:vertAlign w:val="subscript"/>
        </w:rPr>
        <w:t>fn</w:t>
      </w:r>
      <w:r>
        <w:t xml:space="preserve"> of the reactive controller is be determined by first substituting </w:t>
      </w:r>
      <w:r w:rsidRPr="00C53B80">
        <w:t>equation </w:t>
      </w:r>
      <w:r>
        <w:fldChar w:fldCharType="begin"/>
      </w:r>
      <w:r w:rsidRPr="00C53B80">
        <w:instrText xml:space="preserve"> REF EQ_Toff \h </w:instrText>
      </w:r>
      <w:r>
        <w:fldChar w:fldCharType="separate"/>
      </w:r>
      <w:r>
        <w:rPr>
          <w:noProof/>
        </w:rPr>
        <w:t>23</w:t>
      </w:r>
      <w:r>
        <w:fldChar w:fldCharType="end"/>
      </w:r>
      <w:r>
        <w:t xml:space="preserve"> in </w:t>
      </w:r>
      <w:r w:rsidRPr="00C53B80">
        <w:t>equation </w:t>
      </w:r>
      <w:r>
        <w:fldChar w:fldCharType="begin"/>
      </w:r>
      <w:r>
        <w:instrText xml:space="preserve"> REF EQ_CL_Ton_Toff \h </w:instrText>
      </w:r>
      <w:r>
        <w:fldChar w:fldCharType="separate"/>
      </w:r>
      <w:r>
        <w:rPr>
          <w:noProof/>
        </w:rPr>
        <w:t>24</w:t>
      </w:r>
      <w:r>
        <w:fldChar w:fldCharType="end"/>
      </w:r>
      <w:r>
        <w:t xml:space="preserve"> under the assumption that </w:t>
      </w:r>
      <w:r w:rsidRPr="00673D02">
        <w:rPr>
          <w:i/>
        </w:rPr>
        <w:t>CL</w:t>
      </w:r>
      <w:r>
        <w:t>=</w:t>
      </w:r>
      <w:r w:rsidRPr="00673D02">
        <w:rPr>
          <w:i/>
        </w:rPr>
        <w:t>CBR</w:t>
      </w:r>
      <w:r>
        <w:t>:</w:t>
      </w:r>
    </w:p>
    <w:p w14:paraId="040CC457" w14:textId="77777777" w:rsidR="009042C0" w:rsidRDefault="009042C0" w:rsidP="009042C0">
      <w:pPr>
        <w:pStyle w:val="EQ"/>
      </w:pPr>
      <w:r w:rsidRPr="00445DD4">
        <w:tab/>
      </w:r>
      <m:oMath>
        <m:r>
          <w:rPr>
            <w:rFonts w:ascii="Cambria Math" w:hAnsi="Cambria Math"/>
          </w:rPr>
          <m:t>CL=N×</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sSub>
              <m:sSubPr>
                <m:ctrlPr>
                  <w:rPr>
                    <w:rFonts w:ascii="Cambria Math" w:hAnsi="Cambria Math"/>
                  </w:rPr>
                </m:ctrlPr>
              </m:sSubPr>
              <m:e>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CL</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den>
        </m:f>
      </m:oMath>
      <w:r w:rsidRPr="00445DD4">
        <w:tab/>
        <w:t>(</w:t>
      </w:r>
      <w:bookmarkStart w:id="335" w:name="EQ_CL_cfn"/>
      <w:r w:rsidRPr="00445DD4">
        <w:fldChar w:fldCharType="begin"/>
      </w:r>
      <w:r w:rsidRPr="00445DD4">
        <w:instrText xml:space="preserve"> SEQ Eq \* MERGEFORMAT </w:instrText>
      </w:r>
      <w:r w:rsidRPr="00445DD4">
        <w:fldChar w:fldCharType="separate"/>
      </w:r>
      <w:r>
        <w:t>30</w:t>
      </w:r>
      <w:r w:rsidRPr="00445DD4">
        <w:fldChar w:fldCharType="end"/>
      </w:r>
      <w:bookmarkEnd w:id="335"/>
      <w:r w:rsidRPr="00445DD4">
        <w:t>)</w:t>
      </w:r>
    </w:p>
    <w:p w14:paraId="78D4E803" w14:textId="77777777" w:rsidR="009042C0" w:rsidRPr="0072414F" w:rsidRDefault="009042C0" w:rsidP="009042C0">
      <w:r>
        <w:t>With the help of equation </w:t>
      </w:r>
      <w:r>
        <w:fldChar w:fldCharType="begin"/>
      </w:r>
      <w:r>
        <w:instrText xml:space="preserve"> REF EQ_CL_equilibrium \h </w:instrText>
      </w:r>
      <w:r>
        <w:fldChar w:fldCharType="separate"/>
      </w:r>
      <w:r>
        <w:rPr>
          <w:noProof/>
        </w:rPr>
        <w:t>14</w:t>
      </w:r>
      <w:r>
        <w:fldChar w:fldCharType="end"/>
      </w:r>
      <w:r>
        <w:t xml:space="preserve"> the channel load control function c</w:t>
      </w:r>
      <w:r w:rsidRPr="00C53B80">
        <w:rPr>
          <w:vertAlign w:val="subscript"/>
        </w:rPr>
        <w:t>fn</w:t>
      </w:r>
      <w:r>
        <w:t xml:space="preserve"> can be found from equation </w:t>
      </w:r>
      <w:r>
        <w:fldChar w:fldCharType="begin"/>
      </w:r>
      <w:r>
        <w:instrText xml:space="preserve"> REF EQ_CL_cfn \h </w:instrText>
      </w:r>
      <w:r>
        <w:fldChar w:fldCharType="separate"/>
      </w:r>
      <w:r>
        <w:rPr>
          <w:noProof/>
        </w:rPr>
        <w:t>30</w:t>
      </w:r>
      <w:r>
        <w:fldChar w:fldCharType="end"/>
      </w:r>
      <w:r>
        <w:t>.</w:t>
      </w:r>
    </w:p>
    <w:p w14:paraId="1AD5B3F4" w14:textId="77777777" w:rsidR="009042C0" w:rsidRDefault="009042C0" w:rsidP="009042C0">
      <w:pPr>
        <w:pStyle w:val="EQ"/>
      </w:pPr>
      <w:r w:rsidRPr="00445DD4">
        <w:tab/>
      </w:r>
      <m:oMath>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CL</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oMath>
      <w:r w:rsidRPr="00445DD4">
        <w:tab/>
        <w:t>(</w:t>
      </w:r>
      <w:bookmarkStart w:id="336" w:name="EQ_cfn_reactive"/>
      <w:r w:rsidRPr="00445DD4">
        <w:fldChar w:fldCharType="begin"/>
      </w:r>
      <w:r w:rsidRPr="00445DD4">
        <w:instrText xml:space="preserve"> SEQ Eq \* MERGEFORMAT </w:instrText>
      </w:r>
      <w:r w:rsidRPr="00445DD4">
        <w:fldChar w:fldCharType="separate"/>
      </w:r>
      <w:r>
        <w:t>31</w:t>
      </w:r>
      <w:r w:rsidRPr="00445DD4">
        <w:fldChar w:fldCharType="end"/>
      </w:r>
      <w:bookmarkEnd w:id="336"/>
      <w:r w:rsidRPr="00445DD4">
        <w:t>)</w:t>
      </w:r>
    </w:p>
    <w:p w14:paraId="13654AAB" w14:textId="77777777" w:rsidR="009042C0" w:rsidRDefault="009042C0" w:rsidP="009042C0">
      <w:r>
        <w:t>To check the convergence criteria given by equation </w:t>
      </w:r>
      <w:r>
        <w:fldChar w:fldCharType="begin"/>
      </w:r>
      <w:r>
        <w:instrText xml:space="preserve"> REF EQ_convergence_criteria \h </w:instrText>
      </w:r>
      <w:r>
        <w:fldChar w:fldCharType="separate"/>
      </w:r>
      <w:r>
        <w:rPr>
          <w:noProof/>
        </w:rPr>
        <w:t>19</w:t>
      </w:r>
      <w:r>
        <w:fldChar w:fldCharType="end"/>
      </w:r>
      <w:r>
        <w:t>, the channel load control function c</w:t>
      </w:r>
      <w:r w:rsidRPr="00C53B80">
        <w:rPr>
          <w:vertAlign w:val="subscript"/>
        </w:rPr>
        <w:t>fn</w:t>
      </w:r>
      <w:r>
        <w:rPr>
          <w:vertAlign w:val="subscript"/>
        </w:rPr>
        <w:t xml:space="preserve"> </w:t>
      </w:r>
      <w:r>
        <w:t>(equation </w:t>
      </w:r>
      <w:r>
        <w:fldChar w:fldCharType="begin"/>
      </w:r>
      <w:r>
        <w:instrText xml:space="preserve"> REF EQ_cfn_reactive \h </w:instrText>
      </w:r>
      <w:r>
        <w:fldChar w:fldCharType="separate"/>
      </w:r>
      <w:r>
        <w:rPr>
          <w:noProof/>
        </w:rPr>
        <w:t>31</w:t>
      </w:r>
      <w:r>
        <w:fldChar w:fldCharType="end"/>
      </w:r>
      <w:r>
        <w:t>) is used:</w:t>
      </w:r>
    </w:p>
    <w:p w14:paraId="2FEE5059" w14:textId="77777777" w:rsidR="009042C0" w:rsidRDefault="009042C0" w:rsidP="009042C0">
      <w:pPr>
        <w:pStyle w:val="EQ"/>
      </w:pPr>
      <w:r>
        <w:tab/>
      </w:r>
      <m:oMath>
        <m:d>
          <m:dPr>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N×u</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r>
              <w:rPr>
                <w:rFonts w:ascii="Cambria Math" w:hAnsi="Cambria Math"/>
              </w:rPr>
              <m:t xml:space="preserve">-u&lt;0 </m:t>
            </m:r>
            <m:r>
              <m:rPr>
                <m:nor/>
              </m:rPr>
              <w:rPr>
                <w:rFonts w:ascii="Cambria Math" w:hAnsi="Cambria Math"/>
              </w:rPr>
              <m:t>for</m:t>
            </m:r>
            <m:r>
              <w:rPr>
                <w:rFonts w:ascii="Cambria Math" w:hAnsi="Cambria Math"/>
              </w:rPr>
              <m:t xml:space="preserve"> 1&gt;u&gt;</m:t>
            </m:r>
            <m:sSubSup>
              <m:sSubSupPr>
                <m:ctrlPr>
                  <w:rPr>
                    <w:rFonts w:ascii="Cambria Math" w:hAnsi="Cambria Math"/>
                    <w:i/>
                  </w:rPr>
                </m:ctrlPr>
              </m:sSubSup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u</m:t>
                        </m:r>
                      </m:e>
                    </m:acc>
                  </m:e>
                </m:d>
              </m:e>
              <m:sub>
                <m:r>
                  <w:rPr>
                    <w:rFonts w:ascii="Cambria Math" w:hAnsi="Cambria Math"/>
                  </w:rPr>
                  <m:t>2</m:t>
                </m:r>
              </m:sub>
              <m:sup>
                <m:r>
                  <w:rPr>
                    <w:rFonts w:ascii="Cambria Math" w:hAnsi="Cambria Math"/>
                  </w:rPr>
                  <m:t>1</m:t>
                </m:r>
              </m:sup>
            </m:sSubSup>
          </m:e>
        </m:d>
        <m:r>
          <w:rPr>
            <w:rFonts w:ascii="Cambria Math" w:hAnsi="Cambria Math"/>
          </w:rPr>
          <m:t xml:space="preserve"> </m:t>
        </m:r>
        <m:r>
          <m:rPr>
            <m:nor/>
          </m:rPr>
          <w:rPr>
            <w:rFonts w:ascii="Cambria Math" w:hAnsi="Cambria Math"/>
          </w:rPr>
          <m:t xml:space="preserve">and </m:t>
        </m:r>
        <m:d>
          <m:dPr>
            <m:ctrlPr>
              <w:rPr>
                <w:rFonts w:ascii="Cambria Math" w:hAnsi="Cambria Math"/>
                <w:i/>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N×u</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r>
              <w:rPr>
                <w:rFonts w:ascii="Cambria Math" w:hAnsi="Cambria Math"/>
              </w:rPr>
              <m:t xml:space="preserve">-u&gt;0 </m:t>
            </m:r>
            <m:r>
              <m:rPr>
                <m:nor/>
              </m:rPr>
              <w:rPr>
                <w:rFonts w:ascii="Cambria Math" w:hAnsi="Cambria Math"/>
              </w:rPr>
              <m:t>for</m:t>
            </m:r>
            <m:r>
              <w:rPr>
                <w:rFonts w:ascii="Cambria Math" w:hAnsi="Cambria Math"/>
              </w:rPr>
              <m:t xml:space="preserve"> 0&lt;u&lt;</m:t>
            </m:r>
            <m:sSubSup>
              <m:sSubSupPr>
                <m:ctrlPr>
                  <w:rPr>
                    <w:rFonts w:ascii="Cambria Math" w:hAnsi="Cambria Math"/>
                    <w:i/>
                  </w:rPr>
                </m:ctrlPr>
              </m:sSubSup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u</m:t>
                        </m:r>
                      </m:e>
                    </m:acc>
                  </m:e>
                </m:d>
              </m:e>
              <m:sub>
                <m:r>
                  <w:rPr>
                    <w:rFonts w:ascii="Cambria Math" w:hAnsi="Cambria Math"/>
                  </w:rPr>
                  <m:t>2</m:t>
                </m:r>
              </m:sub>
              <m:sup>
                <m:r>
                  <w:rPr>
                    <w:rFonts w:ascii="Cambria Math" w:hAnsi="Cambria Math"/>
                  </w:rPr>
                  <m:t>1</m:t>
                </m:r>
              </m:sup>
            </m:sSubSup>
          </m:e>
        </m:d>
      </m:oMath>
      <w:r w:rsidRPr="00445DD4">
        <w:tab/>
        <w:t>(</w:t>
      </w:r>
      <w:bookmarkStart w:id="337" w:name="EQ_convergence_criteria_reactive"/>
      <w:r w:rsidRPr="00445DD4">
        <w:fldChar w:fldCharType="begin"/>
      </w:r>
      <w:r w:rsidRPr="00445DD4">
        <w:instrText xml:space="preserve"> SEQ Eq \* MERGEFORMAT </w:instrText>
      </w:r>
      <w:r w:rsidRPr="00445DD4">
        <w:fldChar w:fldCharType="separate"/>
      </w:r>
      <w:r>
        <w:t>32</w:t>
      </w:r>
      <w:r w:rsidRPr="00445DD4">
        <w:fldChar w:fldCharType="end"/>
      </w:r>
      <w:bookmarkEnd w:id="337"/>
      <w:r w:rsidRPr="00445DD4">
        <w:t>)</w:t>
      </w:r>
    </w:p>
    <w:p w14:paraId="648D3215" w14:textId="77777777" w:rsidR="009042C0" w:rsidRDefault="009042C0" w:rsidP="009042C0">
      <w:r>
        <w:t xml:space="preserve">Where </w:t>
      </w:r>
      <m:oMath>
        <m:sSubSup>
          <m:sSubSupPr>
            <m:ctrlPr>
              <w:rPr>
                <w:rFonts w:ascii="Cambria Math" w:hAnsi="Cambria Math"/>
                <w:i/>
                <w:noProof/>
              </w:rPr>
            </m:ctrlPr>
          </m:sSubSupPr>
          <m:e>
            <m:d>
              <m:dPr>
                <m:begChr m:val=""/>
                <m:endChr m:val="|"/>
                <m:ctrlPr>
                  <w:rPr>
                    <w:rFonts w:ascii="Cambria Math" w:hAnsi="Cambria Math"/>
                    <w:i/>
                    <w:noProof/>
                  </w:rPr>
                </m:ctrlPr>
              </m:dPr>
              <m:e>
                <m:acc>
                  <m:accPr>
                    <m:chr m:val="̃"/>
                    <m:ctrlPr>
                      <w:rPr>
                        <w:rFonts w:ascii="Cambria Math" w:hAnsi="Cambria Math"/>
                        <w:i/>
                      </w:rPr>
                    </m:ctrlPr>
                  </m:accPr>
                  <m:e>
                    <m:r>
                      <w:rPr>
                        <w:rFonts w:ascii="Cambria Math" w:hAnsi="Cambria Math"/>
                      </w:rPr>
                      <m:t>u</m:t>
                    </m:r>
                  </m:e>
                </m:acc>
              </m:e>
            </m:d>
          </m:e>
          <m:sub>
            <m:r>
              <w:rPr>
                <w:rFonts w:ascii="Cambria Math" w:hAnsi="Cambria Math"/>
              </w:rPr>
              <m:t>2</m:t>
            </m:r>
          </m:sub>
          <m:sup>
            <m:r>
              <w:rPr>
                <w:rFonts w:ascii="Cambria Math" w:hAnsi="Cambria Math"/>
              </w:rPr>
              <m:t>1</m:t>
            </m:r>
          </m:sup>
        </m:sSubSup>
      </m:oMath>
      <w:r>
        <w:t xml:space="preserve"> represents the solution of the equilibrium channel utilization that is within the allowed range of </w:t>
      </w:r>
      <m:oMath>
        <m:r>
          <w:rPr>
            <w:rFonts w:ascii="Cambria Math" w:hAnsi="Cambria Math"/>
            <w:noProof/>
          </w:rPr>
          <m:t>0&lt;</m:t>
        </m:r>
        <m:acc>
          <m:accPr>
            <m:chr m:val="̃"/>
            <m:ctrlPr>
              <w:rPr>
                <w:rFonts w:ascii="Cambria Math" w:hAnsi="Cambria Math"/>
                <w:i/>
                <w:noProof/>
              </w:rPr>
            </m:ctrlPr>
          </m:accPr>
          <m:e>
            <m:r>
              <w:rPr>
                <w:rFonts w:ascii="Cambria Math" w:hAnsi="Cambria Math"/>
                <w:noProof/>
              </w:rPr>
              <m:t>u</m:t>
            </m:r>
          </m:e>
        </m:acc>
        <m:r>
          <w:rPr>
            <w:rFonts w:ascii="Cambria Math" w:hAnsi="Cambria Math"/>
            <w:noProof/>
          </w:rPr>
          <m:t>&lt;1</m:t>
        </m:r>
      </m:oMath>
      <w:r>
        <w:t xml:space="preserve"> obtained from </w:t>
      </w:r>
      <w:r w:rsidRPr="00C53B80">
        <w:t>equation </w:t>
      </w:r>
      <w:r>
        <w:fldChar w:fldCharType="begin"/>
      </w:r>
      <w:r>
        <w:instrText xml:space="preserve"> REF EQ_u_equilibrium \h </w:instrText>
      </w:r>
      <w:r>
        <w:fldChar w:fldCharType="separate"/>
      </w:r>
      <w:r>
        <w:rPr>
          <w:noProof/>
        </w:rPr>
        <w:t>5</w:t>
      </w:r>
      <w:r>
        <w:fldChar w:fldCharType="end"/>
      </w:r>
      <w:r>
        <w:t xml:space="preserve"> and equation </w:t>
      </w:r>
      <w:r>
        <w:fldChar w:fldCharType="begin"/>
      </w:r>
      <w:r>
        <w:instrText xml:space="preserve"> REF EQ_CL12_reactive \h </w:instrText>
      </w:r>
      <w:r>
        <w:fldChar w:fldCharType="separate"/>
      </w:r>
      <w:r>
        <w:rPr>
          <w:noProof/>
        </w:rPr>
        <w:t>29</w:t>
      </w:r>
      <w:r>
        <w:fldChar w:fldCharType="end"/>
      </w:r>
      <w:r>
        <w:t>. In case equation </w:t>
      </w:r>
      <w:r>
        <w:fldChar w:fldCharType="begin"/>
      </w:r>
      <w:r>
        <w:instrText xml:space="preserve"> REF EQ_CL12_reactive \h </w:instrText>
      </w:r>
      <w:r>
        <w:fldChar w:fldCharType="separate"/>
      </w:r>
      <w:r>
        <w:rPr>
          <w:noProof/>
        </w:rPr>
        <w:t>29</w:t>
      </w:r>
      <w:r>
        <w:fldChar w:fldCharType="end"/>
      </w:r>
      <w:r>
        <w:t xml:space="preserve"> has two solutions within this range, convergence is only given when the range of </w:t>
      </w:r>
      <w:r w:rsidRPr="00673D02">
        <w:rPr>
          <w:i/>
        </w:rPr>
        <w:t>u</w:t>
      </w:r>
      <w:r>
        <w:t xml:space="preserve"> is limited in such a way that only one solution is within this range and equation </w:t>
      </w:r>
      <w:r>
        <w:fldChar w:fldCharType="begin"/>
      </w:r>
      <w:r>
        <w:instrText xml:space="preserve"> REF EQ_convergence_criteria_reactive \h </w:instrText>
      </w:r>
      <w:r>
        <w:fldChar w:fldCharType="separate"/>
      </w:r>
      <w:r>
        <w:rPr>
          <w:noProof/>
        </w:rPr>
        <w:t>32</w:t>
      </w:r>
      <w:r>
        <w:fldChar w:fldCharType="end"/>
      </w:r>
      <w:r>
        <w:t xml:space="preserve"> is fulfilled there.</w:t>
      </w:r>
    </w:p>
    <w:p w14:paraId="17C741F9" w14:textId="77777777" w:rsidR="009042C0" w:rsidRDefault="009042C0" w:rsidP="009042C0">
      <w:r>
        <w:t>Or in terms of CL equation </w:t>
      </w:r>
      <w:r>
        <w:fldChar w:fldCharType="begin"/>
      </w:r>
      <w:r>
        <w:instrText xml:space="preserve"> REF EQ_convergence_criteria_reactive \h </w:instrText>
      </w:r>
      <w:r>
        <w:fldChar w:fldCharType="separate"/>
      </w:r>
      <w:r>
        <w:rPr>
          <w:noProof/>
        </w:rPr>
        <w:t>32</w:t>
      </w:r>
      <w:r>
        <w:fldChar w:fldCharType="end"/>
      </w:r>
      <w:r>
        <w:t xml:space="preserve"> can be written as equation </w:t>
      </w:r>
      <w:r>
        <w:fldChar w:fldCharType="begin"/>
      </w:r>
      <w:r>
        <w:instrText xml:space="preserve"> REF EQ_convergence_criteria_reactive_CL \h </w:instrText>
      </w:r>
      <w:r>
        <w:fldChar w:fldCharType="separate"/>
      </w:r>
      <w:r>
        <w:rPr>
          <w:noProof/>
        </w:rPr>
        <w:t>33</w:t>
      </w:r>
      <w:r>
        <w:fldChar w:fldCharType="end"/>
      </w:r>
      <w:r>
        <w:t>.</w:t>
      </w:r>
    </w:p>
    <w:p w14:paraId="523AA7FA" w14:textId="77777777" w:rsidR="009042C0" w:rsidRDefault="009042C0" w:rsidP="009042C0">
      <w:pPr>
        <w:pStyle w:val="EQ"/>
      </w:pPr>
      <w:r>
        <w:tab/>
      </w:r>
      <m:oMath>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r>
              <w:rPr>
                <w:rFonts w:ascii="Cambria Math" w:hAnsi="Cambria Math"/>
              </w:rPr>
              <m:t xml:space="preserve">-CL&lt;0 </m:t>
            </m:r>
            <m:r>
              <m:rPr>
                <m:nor/>
              </m:rPr>
              <w:rPr>
                <w:rFonts w:ascii="Cambria Math" w:hAnsi="Cambria Math"/>
              </w:rPr>
              <m:t>for</m:t>
            </m:r>
            <m:r>
              <w:rPr>
                <w:rFonts w:ascii="Cambria Math" w:hAnsi="Cambria Math"/>
              </w:rPr>
              <m:t xml:space="preserve"> 1&gt;CL&gt;</m:t>
            </m:r>
            <m:sSubSup>
              <m:sSubSupPr>
                <m:ctrlPr>
                  <w:rPr>
                    <w:rFonts w:ascii="Cambria Math" w:hAnsi="Cambria Math"/>
                    <w:i/>
                  </w:rPr>
                </m:ctrlPr>
              </m:sSubSup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CL</m:t>
                        </m:r>
                      </m:e>
                    </m:acc>
                  </m:e>
                </m:d>
              </m:e>
              <m:sub>
                <m:r>
                  <w:rPr>
                    <w:rFonts w:ascii="Cambria Math" w:hAnsi="Cambria Math"/>
                  </w:rPr>
                  <m:t>2</m:t>
                </m:r>
              </m:sub>
              <m:sup>
                <m:r>
                  <w:rPr>
                    <w:rFonts w:ascii="Cambria Math" w:hAnsi="Cambria Math"/>
                  </w:rPr>
                  <m:t>1</m:t>
                </m:r>
              </m:sup>
            </m:sSubSup>
          </m:e>
        </m:d>
        <m:r>
          <w:rPr>
            <w:rFonts w:ascii="Cambria Math" w:hAnsi="Cambria Math"/>
          </w:rPr>
          <m:t xml:space="preserve"> </m:t>
        </m:r>
        <m:r>
          <m:rPr>
            <m:nor/>
          </m:rPr>
          <w:rPr>
            <w:rFonts w:ascii="Cambria Math" w:hAnsi="Cambria Math"/>
          </w:rPr>
          <m:t xml:space="preserve">and </m:t>
        </m:r>
        <m:d>
          <m:dPr>
            <m:ctrlPr>
              <w:rPr>
                <w:rFonts w:ascii="Cambria Math" w:hAnsi="Cambria Math"/>
                <w:i/>
              </w:rPr>
            </m:ctrlPr>
          </m:dPr>
          <m:e>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r>
              <w:rPr>
                <w:rFonts w:ascii="Cambria Math" w:hAnsi="Cambria Math"/>
              </w:rPr>
              <m:t xml:space="preserve">-CL&gt;0 </m:t>
            </m:r>
            <m:r>
              <m:rPr>
                <m:nor/>
              </m:rPr>
              <w:rPr>
                <w:rFonts w:ascii="Cambria Math" w:hAnsi="Cambria Math"/>
              </w:rPr>
              <m:t>for</m:t>
            </m:r>
            <m:r>
              <w:rPr>
                <w:rFonts w:ascii="Cambria Math" w:hAnsi="Cambria Math"/>
              </w:rPr>
              <m:t xml:space="preserve"> 0&lt;CL&lt;</m:t>
            </m:r>
            <m:sSubSup>
              <m:sSubSupPr>
                <m:ctrlPr>
                  <w:rPr>
                    <w:rFonts w:ascii="Cambria Math" w:hAnsi="Cambria Math"/>
                    <w:i/>
                  </w:rPr>
                </m:ctrlPr>
              </m:sSubSupPr>
              <m:e>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CL</m:t>
                        </m:r>
                      </m:e>
                    </m:acc>
                  </m:e>
                </m:d>
              </m:e>
              <m:sub>
                <m:r>
                  <w:rPr>
                    <w:rFonts w:ascii="Cambria Math" w:hAnsi="Cambria Math"/>
                  </w:rPr>
                  <m:t>2</m:t>
                </m:r>
              </m:sub>
              <m:sup>
                <m:r>
                  <w:rPr>
                    <w:rFonts w:ascii="Cambria Math" w:hAnsi="Cambria Math"/>
                  </w:rPr>
                  <m:t>1</m:t>
                </m:r>
              </m:sup>
            </m:sSubSup>
          </m:e>
        </m:d>
      </m:oMath>
      <w:r w:rsidRPr="00445DD4">
        <w:tab/>
        <w:t>(</w:t>
      </w:r>
      <w:bookmarkStart w:id="338" w:name="EQ_convergence_criteria_reactive_CL"/>
      <w:r w:rsidRPr="00445DD4">
        <w:fldChar w:fldCharType="begin"/>
      </w:r>
      <w:r w:rsidRPr="00445DD4">
        <w:instrText xml:space="preserve"> SEQ Eq \* MERGEFORMAT </w:instrText>
      </w:r>
      <w:r w:rsidRPr="00445DD4">
        <w:fldChar w:fldCharType="separate"/>
      </w:r>
      <w:r>
        <w:t>33</w:t>
      </w:r>
      <w:r w:rsidRPr="00445DD4">
        <w:fldChar w:fldCharType="end"/>
      </w:r>
      <w:bookmarkEnd w:id="338"/>
      <w:r w:rsidRPr="00445DD4">
        <w:t>)</w:t>
      </w:r>
    </w:p>
    <w:p w14:paraId="2F4AF657" w14:textId="57A144B1" w:rsidR="009042C0" w:rsidRDefault="009042C0" w:rsidP="009042C0">
      <w:r>
        <w:t>When applying the convergence criteria to the examples based on [</w:t>
      </w:r>
      <w:r w:rsidRPr="00436A20">
        <w:t>ETSI</w:t>
      </w:r>
      <w:r>
        <w:t> </w:t>
      </w:r>
      <w:r w:rsidRPr="00436A20">
        <w:t>TS</w:t>
      </w:r>
      <w:r>
        <w:t> </w:t>
      </w:r>
      <w:r w:rsidRPr="00436A20">
        <w:t>102</w:t>
      </w:r>
      <w:r>
        <w:t> </w:t>
      </w:r>
      <w:r w:rsidRPr="00436A20">
        <w:t>687</w:t>
      </w:r>
      <w:r>
        <w:t> </w:t>
      </w:r>
      <w:r w:rsidRPr="00436A20">
        <w:t>V1.2.1</w:t>
      </w:r>
      <w:r>
        <w:t xml:space="preserve">] given in in </w:t>
      </w:r>
      <w:r>
        <w:fldChar w:fldCharType="begin"/>
      </w:r>
      <w:r>
        <w:instrText xml:space="preserve"> REF _Ref191556164 \h </w:instrText>
      </w:r>
      <w:r>
        <w:fldChar w:fldCharType="separate"/>
      </w:r>
      <w:r>
        <w:t>Table </w:t>
      </w:r>
      <w:r>
        <w:rPr>
          <w:noProof/>
        </w:rPr>
        <w:t>1</w:t>
      </w:r>
      <w:r>
        <w:fldChar w:fldCharType="end"/>
      </w:r>
      <w:r>
        <w:t xml:space="preserve"> it can be seen form </w:t>
      </w:r>
      <w:r>
        <w:fldChar w:fldCharType="begin"/>
      </w:r>
      <w:r>
        <w:instrText xml:space="preserve"> REF _Ref191573622 \h </w:instrText>
      </w:r>
      <w:r>
        <w:fldChar w:fldCharType="separate"/>
      </w:r>
      <w:r w:rsidR="00D22235" w:rsidRPr="00445DD4">
        <w:t xml:space="preserve">Figure </w:t>
      </w:r>
      <w:r w:rsidR="00D22235">
        <w:rPr>
          <w:noProof/>
        </w:rPr>
        <w:t>25</w:t>
      </w:r>
      <w:r>
        <w:fldChar w:fldCharType="end"/>
      </w:r>
      <w:r>
        <w:t xml:space="preserve"> and </w:t>
      </w:r>
      <w:r>
        <w:fldChar w:fldCharType="begin"/>
      </w:r>
      <w:r>
        <w:instrText xml:space="preserve"> REF _Ref191573958 \h </w:instrText>
      </w:r>
      <w:r>
        <w:fldChar w:fldCharType="separate"/>
      </w:r>
      <w:r w:rsidR="00D22235" w:rsidRPr="00445DD4">
        <w:t xml:space="preserve">Figure </w:t>
      </w:r>
      <w:r w:rsidR="00D22235">
        <w:rPr>
          <w:noProof/>
        </w:rPr>
        <w:t>26</w:t>
      </w:r>
      <w:r>
        <w:fldChar w:fldCharType="end"/>
      </w:r>
      <w:r>
        <w:t xml:space="preserve"> that the reactive congestion control will converge to the negative equilibrium when </w:t>
      </w:r>
      <w:r w:rsidRPr="00673D02">
        <w:rPr>
          <w:i/>
        </w:rPr>
        <w:t>CL</w:t>
      </w:r>
      <w:r>
        <w:t xml:space="preserve"> is somewhere below 0,2. The correct convergence area above a </w:t>
      </w:r>
      <w:r w:rsidRPr="00673D02">
        <w:rPr>
          <w:i/>
        </w:rPr>
        <w:t>CL</w:t>
      </w:r>
      <w:r>
        <w:t xml:space="preserve"> of around 0,2 to the positive </w:t>
      </w:r>
      <w:r w:rsidRPr="00673D02">
        <w:rPr>
          <w:i/>
        </w:rPr>
        <w:t>CL</w:t>
      </w:r>
      <w:r>
        <w:t xml:space="preserve"> equilibrium is highlighted in green, the wrong convergence to the negative </w:t>
      </w:r>
      <w:r w:rsidRPr="00673D02">
        <w:rPr>
          <w:i/>
        </w:rPr>
        <w:t>CL</w:t>
      </w:r>
      <w:r>
        <w:t xml:space="preserve"> equilibrium is marked in red, and the negative (impossible) </w:t>
      </w:r>
      <w:r w:rsidRPr="00673D02">
        <w:rPr>
          <w:i/>
        </w:rPr>
        <w:t>CL</w:t>
      </w:r>
      <w:r>
        <w:t xml:space="preserve"> area is marked in white. This is the reason why this control algorithm needs to be implemented by a table that has no entries below a </w:t>
      </w:r>
      <w:r w:rsidRPr="00673D02">
        <w:rPr>
          <w:i/>
        </w:rPr>
        <w:t>CL</w:t>
      </w:r>
      <w:r>
        <w:t xml:space="preserve"> of 0,3 to avoid a convergence to the impossible negative </w:t>
      </w:r>
      <w:r w:rsidRPr="00673D02">
        <w:rPr>
          <w:i/>
          <w:iCs/>
        </w:rPr>
        <w:t>CL</w:t>
      </w:r>
      <w:r>
        <w:t xml:space="preserve"> equilibrium.</w:t>
      </w:r>
      <w:r w:rsidRPr="00422080">
        <w:t xml:space="preserve"> </w:t>
      </w:r>
    </w:p>
    <w:p w14:paraId="69D93D3F" w14:textId="3198FAC7" w:rsidR="009042C0" w:rsidRPr="005A7C32" w:rsidRDefault="009042C0" w:rsidP="009042C0">
      <w:r>
        <w:t xml:space="preserve">The convergence direction is given by </w:t>
      </w:r>
      <m:oMath>
        <m:sSub>
          <m:sSubPr>
            <m:ctrlPr>
              <w:rPr>
                <w:rFonts w:ascii="Cambria Math" w:hAnsi="Cambria Math"/>
                <w:i/>
              </w:rPr>
            </m:ctrlPr>
          </m:sSubPr>
          <m:e>
            <m:r>
              <m:rPr>
                <m:nor/>
              </m:rPr>
              <w:rPr>
                <w:rFonts w:ascii="Cambria Math" w:hAnsi="Cambria Math"/>
              </w:rPr>
              <m:t>c</m:t>
            </m:r>
          </m:e>
          <m:sub>
            <m:r>
              <m:rPr>
                <m:nor/>
              </m:rPr>
              <w:rPr>
                <w:rFonts w:ascii="Cambria Math" w:hAnsi="Cambria Math"/>
              </w:rPr>
              <m:t>fn</m:t>
            </m:r>
          </m:sub>
        </m:sSub>
        <m:d>
          <m:dPr>
            <m:ctrlPr>
              <w:rPr>
                <w:rFonts w:ascii="Cambria Math" w:hAnsi="Cambria Math"/>
                <w:i/>
              </w:rPr>
            </m:ctrlPr>
          </m:dPr>
          <m:e>
            <m:r>
              <w:rPr>
                <w:rFonts w:ascii="Cambria Math" w:hAnsi="Cambria Math"/>
              </w:rPr>
              <m:t>CL</m:t>
            </m:r>
          </m:e>
        </m:d>
      </m:oMath>
      <w:r>
        <w:t xml:space="preserve"> which has a pole when </w:t>
      </w:r>
      <m:oMath>
        <m:r>
          <w:rPr>
            <w:rFonts w:ascii="Cambria Math" w:hAnsi="Cambria Math"/>
          </w:rPr>
          <m:t>CL</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oMath>
      <w:r>
        <w:t xml:space="preserve"> gets zero. Since </w:t>
      </w:r>
      <w:r w:rsidRPr="00673D02">
        <w:rPr>
          <w:i/>
        </w:rPr>
        <w:t>T</w:t>
      </w:r>
      <w:r w:rsidRPr="00673D02">
        <w:rPr>
          <w:i/>
          <w:vertAlign w:val="subscript"/>
        </w:rPr>
        <w:t>a</w:t>
      </w:r>
      <w:r>
        <w:t xml:space="preserve"> and </w:t>
      </w:r>
      <w:r w:rsidRPr="001571C1">
        <w:rPr>
          <w:i/>
        </w:rPr>
        <w:t>T</w:t>
      </w:r>
      <w:r w:rsidRPr="001571C1">
        <w:rPr>
          <w:i/>
          <w:vertAlign w:val="subscript"/>
        </w:rPr>
        <w:t>on</w:t>
      </w:r>
      <w:r>
        <w:t xml:space="preserve"> are always positive, a pole for a positive </w:t>
      </w:r>
      <w:r w:rsidRPr="00673D02">
        <w:rPr>
          <w:i/>
        </w:rPr>
        <w:t>CL</w:t>
      </w:r>
      <w:r>
        <w:t xml:space="preserve"> can only happen when </w:t>
      </w:r>
      <w:r w:rsidRPr="001571C1">
        <w:rPr>
          <w:i/>
        </w:rPr>
        <w:t>T</w:t>
      </w:r>
      <w:r>
        <w:rPr>
          <w:i/>
          <w:vertAlign w:val="subscript"/>
        </w:rPr>
        <w:t>b</w:t>
      </w:r>
      <w:r>
        <w:t xml:space="preserve"> is negative.</w:t>
      </w:r>
      <w:r w:rsidRPr="00422080">
        <w:t xml:space="preserve"> </w:t>
      </w:r>
      <w:r>
        <w:t xml:space="preserve">For the example given in in </w:t>
      </w:r>
      <w:r>
        <w:fldChar w:fldCharType="begin"/>
      </w:r>
      <w:r>
        <w:instrText xml:space="preserve"> REF _Ref191556164 \h </w:instrText>
      </w:r>
      <w:r>
        <w:fldChar w:fldCharType="separate"/>
      </w:r>
      <w:r>
        <w:t>Table </w:t>
      </w:r>
      <w:r>
        <w:rPr>
          <w:noProof/>
        </w:rPr>
        <w:t>1</w:t>
      </w:r>
      <w:r>
        <w:fldChar w:fldCharType="end"/>
      </w:r>
      <w:r>
        <w:t xml:space="preserve"> and when assuming that the </w:t>
      </w:r>
      <w:r w:rsidRPr="001571C1">
        <w:rPr>
          <w:i/>
        </w:rPr>
        <w:t>T</w:t>
      </w:r>
      <w:r w:rsidRPr="001571C1">
        <w:rPr>
          <w:i/>
          <w:vertAlign w:val="subscript"/>
        </w:rPr>
        <w:t>on</w:t>
      </w:r>
      <w:r>
        <w:t xml:space="preserve"> values are below 2 ms the pole is at a </w:t>
      </w:r>
      <m:oMath>
        <m:r>
          <w:rPr>
            <w:rFonts w:ascii="Cambria Math" w:hAnsi="Cambria Math"/>
          </w:rPr>
          <m:t>CL=</m:t>
        </m:r>
        <m:f>
          <m:fPr>
            <m:type m:val="lin"/>
            <m:ctrlPr>
              <w:rPr>
                <w:rFonts w:ascii="Cambria Math" w:hAnsi="Cambria Math"/>
                <w:i/>
              </w:rPr>
            </m:ctrlPr>
          </m:fPr>
          <m:num>
            <m:d>
              <m:dPr>
                <m:ctrlPr>
                  <w:rPr>
                    <w:rFonts w:ascii="Cambria Math" w:hAnsi="Cambria Math"/>
                    <w:i/>
                  </w:rPr>
                </m:ctrlPr>
              </m:dPr>
              <m:e>
                <m:r>
                  <w:rPr>
                    <w:rFonts w:ascii="Cambria Math" w:hAnsi="Cambria Math"/>
                  </w:rPr>
                  <m:t>285 ms-</m:t>
                </m:r>
                <m:sSub>
                  <m:sSubPr>
                    <m:ctrlPr>
                      <w:rPr>
                        <w:rFonts w:ascii="Cambria Math" w:hAnsi="Cambria Math"/>
                        <w:i/>
                      </w:rPr>
                    </m:ctrlPr>
                  </m:sSubPr>
                  <m:e>
                    <m:r>
                      <w:rPr>
                        <w:rFonts w:ascii="Cambria Math" w:hAnsi="Cambria Math"/>
                      </w:rPr>
                      <m:t>T</m:t>
                    </m:r>
                  </m:e>
                  <m:sub>
                    <m:r>
                      <w:rPr>
                        <w:rFonts w:ascii="Cambria Math" w:hAnsi="Cambria Math"/>
                      </w:rPr>
                      <m:t>on</m:t>
                    </m:r>
                  </m:sub>
                </m:sSub>
              </m:e>
            </m:d>
          </m:num>
          <m:den>
            <m:r>
              <w:rPr>
                <w:rFonts w:ascii="Cambria Math" w:hAnsi="Cambria Math"/>
              </w:rPr>
              <m:t>1295 ms≈0,22</m:t>
            </m:r>
          </m:den>
        </m:f>
      </m:oMath>
      <w:r>
        <w:t xml:space="preserve"> or at a </w:t>
      </w:r>
      <m:oMath>
        <m:f>
          <m:fPr>
            <m:type m:val="lin"/>
            <m:ctrlPr>
              <w:rPr>
                <w:rFonts w:ascii="Cambria Math" w:hAnsi="Cambria Math"/>
                <w:i/>
              </w:rPr>
            </m:ctrlPr>
          </m:fPr>
          <m:num>
            <m:r>
              <w:rPr>
                <w:rFonts w:ascii="Cambria Math" w:hAnsi="Cambria Math"/>
              </w:rPr>
              <m:t>CL=</m:t>
            </m:r>
            <m:d>
              <m:dPr>
                <m:ctrlPr>
                  <w:rPr>
                    <w:rFonts w:ascii="Cambria Math" w:hAnsi="Cambria Math"/>
                    <w:i/>
                  </w:rPr>
                </m:ctrlPr>
              </m:dPr>
              <m:e>
                <m:r>
                  <w:rPr>
                    <w:rFonts w:ascii="Cambria Math" w:hAnsi="Cambria Math"/>
                  </w:rPr>
                  <m:t>127 ms-</m:t>
                </m:r>
                <m:sSub>
                  <m:sSubPr>
                    <m:ctrlPr>
                      <w:rPr>
                        <w:rFonts w:ascii="Cambria Math" w:hAnsi="Cambria Math"/>
                        <w:i/>
                      </w:rPr>
                    </m:ctrlPr>
                  </m:sSubPr>
                  <m:e>
                    <m:r>
                      <w:rPr>
                        <w:rFonts w:ascii="Cambria Math" w:hAnsi="Cambria Math"/>
                      </w:rPr>
                      <m:t>T</m:t>
                    </m:r>
                  </m:e>
                  <m:sub>
                    <m:r>
                      <w:rPr>
                        <w:rFonts w:ascii="Cambria Math" w:hAnsi="Cambria Math"/>
                      </w:rPr>
                      <m:t>on</m:t>
                    </m:r>
                  </m:sub>
                </m:sSub>
              </m:e>
            </m:d>
          </m:num>
          <m:den>
            <m:r>
              <w:rPr>
                <w:rFonts w:ascii="Cambria Math" w:hAnsi="Cambria Math"/>
              </w:rPr>
              <m:t>598 ms≈0,21</m:t>
            </m:r>
          </m:den>
        </m:f>
      </m:oMath>
      <w:r>
        <w:t xml:space="preserve"> as shown in </w:t>
      </w:r>
      <w:r>
        <w:fldChar w:fldCharType="begin"/>
      </w:r>
      <w:r>
        <w:instrText xml:space="preserve"> REF _Ref191573622 \h </w:instrText>
      </w:r>
      <w:r>
        <w:fldChar w:fldCharType="separate"/>
      </w:r>
      <w:r w:rsidR="00D22235" w:rsidRPr="00445DD4">
        <w:t xml:space="preserve">Figure </w:t>
      </w:r>
      <w:r w:rsidR="00D22235">
        <w:rPr>
          <w:noProof/>
        </w:rPr>
        <w:t>25</w:t>
      </w:r>
      <w:r>
        <w:fldChar w:fldCharType="end"/>
      </w:r>
      <w:r>
        <w:t xml:space="preserve"> and </w:t>
      </w:r>
      <w:r>
        <w:fldChar w:fldCharType="begin"/>
      </w:r>
      <w:r>
        <w:instrText xml:space="preserve"> REF _Ref191573958 \h </w:instrText>
      </w:r>
      <w:r>
        <w:fldChar w:fldCharType="separate"/>
      </w:r>
      <w:r w:rsidR="00D22235" w:rsidRPr="00445DD4">
        <w:t xml:space="preserve">Figure </w:t>
      </w:r>
      <w:r w:rsidR="00D22235">
        <w:rPr>
          <w:noProof/>
        </w:rPr>
        <w:t>26</w:t>
      </w:r>
      <w:r>
        <w:fldChar w:fldCharType="end"/>
      </w:r>
      <w:r>
        <w:t>.</w:t>
      </w:r>
    </w:p>
    <w:p w14:paraId="4E0F8B54" w14:textId="77777777" w:rsidR="009042C0" w:rsidRDefault="009042C0" w:rsidP="009042C0">
      <w:pPr>
        <w:pStyle w:val="FL"/>
      </w:pPr>
      <w:r>
        <w:rPr>
          <w:noProof/>
          <w:lang w:val="it-IT" w:eastAsia="it-IT"/>
        </w:rPr>
        <w:drawing>
          <wp:inline distT="0" distB="0" distL="0" distR="0" wp14:anchorId="62DAD027" wp14:editId="7F7056FC">
            <wp:extent cx="2980800" cy="2156400"/>
            <wp:effectExtent l="0" t="0" r="0" b="0"/>
            <wp:docPr id="51158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5870"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2980800" cy="2156400"/>
                    </a:xfrm>
                    <a:prstGeom prst="rect">
                      <a:avLst/>
                    </a:prstGeom>
                  </pic:spPr>
                </pic:pic>
              </a:graphicData>
            </a:graphic>
          </wp:inline>
        </w:drawing>
      </w:r>
      <w:r w:rsidRPr="005A7C32">
        <w:rPr>
          <w:noProof/>
        </w:rPr>
        <w:t xml:space="preserve"> </w:t>
      </w:r>
      <w:r>
        <w:rPr>
          <w:noProof/>
          <w:lang w:val="it-IT" w:eastAsia="it-IT"/>
        </w:rPr>
        <w:drawing>
          <wp:inline distT="0" distB="0" distL="0" distR="0" wp14:anchorId="13C5F431" wp14:editId="2C35ABD5">
            <wp:extent cx="2980800" cy="2156400"/>
            <wp:effectExtent l="0" t="0" r="0" b="0"/>
            <wp:docPr id="17861845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184556"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2980800" cy="2156400"/>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9042C0" w14:paraId="18187E1B" w14:textId="77777777" w:rsidTr="003E1F79">
        <w:tc>
          <w:tcPr>
            <w:tcW w:w="4814" w:type="dxa"/>
          </w:tcPr>
          <w:p w14:paraId="4560EF81" w14:textId="54D9664E" w:rsidR="009042C0" w:rsidRPr="0087473A" w:rsidRDefault="009042C0" w:rsidP="003E1F79">
            <w:pPr>
              <w:pStyle w:val="TF"/>
              <w:ind w:left="1167" w:hanging="1167"/>
              <w:jc w:val="left"/>
            </w:pPr>
            <w:bookmarkStart w:id="339" w:name="_Ref191573622"/>
            <w:r w:rsidRPr="00445DD4">
              <w:t xml:space="preserve">Figure </w:t>
            </w:r>
            <w:r w:rsidR="00115785">
              <w:fldChar w:fldCharType="begin"/>
            </w:r>
            <w:r w:rsidR="00115785">
              <w:instrText xml:space="preserve"> SEQ Figure \* ARABIC </w:instrText>
            </w:r>
            <w:r w:rsidR="00115785">
              <w:fldChar w:fldCharType="separate"/>
            </w:r>
            <w:r w:rsidR="00115785">
              <w:rPr>
                <w:noProof/>
              </w:rPr>
              <w:t>25</w:t>
            </w:r>
            <w:r w:rsidR="00115785">
              <w:rPr>
                <w:noProof/>
              </w:rPr>
              <w:fldChar w:fldCharType="end"/>
            </w:r>
            <w:bookmarkEnd w:id="339"/>
            <w:r w:rsidRPr="00445DD4">
              <w:tab/>
            </w:r>
            <w:r>
              <w:t xml:space="preserve">Convergence criteria function for </w:t>
            </w:r>
            <w:r w:rsidRPr="00EF5A13">
              <w:rPr>
                <w:i/>
              </w:rPr>
              <w:t>N</w:t>
            </w:r>
            <w:r>
              <w:rPr>
                <w:i/>
              </w:rPr>
              <w:t> </w:t>
            </w:r>
            <w:r>
              <w:t xml:space="preserve">= 100, </w:t>
            </w:r>
            <w:r w:rsidRPr="00EF5A13">
              <w:rPr>
                <w:i/>
              </w:rPr>
              <w:t>T</w:t>
            </w:r>
            <w:r w:rsidRPr="00EF5A13">
              <w:rPr>
                <w:i/>
                <w:vertAlign w:val="subscript"/>
              </w:rPr>
              <w:t>on</w:t>
            </w:r>
            <w:r>
              <w:t xml:space="preserve"> = 1 ms, and the parameters given in </w:t>
            </w:r>
            <w:r>
              <w:fldChar w:fldCharType="begin"/>
            </w:r>
            <w:r>
              <w:instrText xml:space="preserve"> REF _Ref191556164 \h </w:instrText>
            </w:r>
            <w:r>
              <w:fldChar w:fldCharType="separate"/>
            </w:r>
            <w:r>
              <w:t>Table </w:t>
            </w:r>
            <w:r>
              <w:rPr>
                <w:noProof/>
              </w:rPr>
              <w:t>1</w:t>
            </w:r>
            <w:r>
              <w:fldChar w:fldCharType="end"/>
            </w:r>
          </w:p>
        </w:tc>
        <w:tc>
          <w:tcPr>
            <w:tcW w:w="4815" w:type="dxa"/>
          </w:tcPr>
          <w:p w14:paraId="32D10779" w14:textId="33369926" w:rsidR="009042C0" w:rsidRDefault="009042C0" w:rsidP="003E1F79">
            <w:pPr>
              <w:pStyle w:val="TF"/>
              <w:ind w:left="1175" w:hanging="1175"/>
              <w:jc w:val="left"/>
            </w:pPr>
            <w:bookmarkStart w:id="340" w:name="_Ref191573958"/>
            <w:r w:rsidRPr="00445DD4">
              <w:t xml:space="preserve">Figure </w:t>
            </w:r>
            <w:r w:rsidR="00115785">
              <w:fldChar w:fldCharType="begin"/>
            </w:r>
            <w:r w:rsidR="00115785">
              <w:instrText xml:space="preserve"> SEQ Figure \* ARABIC </w:instrText>
            </w:r>
            <w:r w:rsidR="00115785">
              <w:fldChar w:fldCharType="separate"/>
            </w:r>
            <w:r w:rsidR="00115785">
              <w:rPr>
                <w:noProof/>
              </w:rPr>
              <w:t>26</w:t>
            </w:r>
            <w:r w:rsidR="00115785">
              <w:rPr>
                <w:noProof/>
              </w:rPr>
              <w:fldChar w:fldCharType="end"/>
            </w:r>
            <w:bookmarkEnd w:id="340"/>
            <w:r w:rsidRPr="00445DD4">
              <w:tab/>
            </w:r>
            <w:r>
              <w:t xml:space="preserve">Convergence criteria function for </w:t>
            </w:r>
            <w:r w:rsidRPr="00EF5A13">
              <w:rPr>
                <w:i/>
              </w:rPr>
              <w:t>N</w:t>
            </w:r>
            <w:r>
              <w:rPr>
                <w:i/>
              </w:rPr>
              <w:t> </w:t>
            </w:r>
            <w:r>
              <w:t xml:space="preserve">= 100, </w:t>
            </w:r>
            <w:r w:rsidRPr="001571C1">
              <w:rPr>
                <w:i/>
              </w:rPr>
              <w:t>T</w:t>
            </w:r>
            <w:r w:rsidRPr="001571C1">
              <w:rPr>
                <w:i/>
                <w:vertAlign w:val="subscript"/>
              </w:rPr>
              <w:t>on</w:t>
            </w:r>
            <w:r>
              <w:t xml:space="preserve"> = 0,5 ms, and the parameters given in </w:t>
            </w:r>
            <w:r>
              <w:fldChar w:fldCharType="begin"/>
            </w:r>
            <w:r>
              <w:instrText xml:space="preserve"> REF _Ref191556164 \h </w:instrText>
            </w:r>
            <w:r>
              <w:fldChar w:fldCharType="separate"/>
            </w:r>
            <w:r>
              <w:t>Table </w:t>
            </w:r>
            <w:r>
              <w:rPr>
                <w:noProof/>
              </w:rPr>
              <w:t>1</w:t>
            </w:r>
            <w:r>
              <w:fldChar w:fldCharType="end"/>
            </w:r>
          </w:p>
        </w:tc>
      </w:tr>
    </w:tbl>
    <w:p w14:paraId="7EAAA0C8" w14:textId="77777777" w:rsidR="009042C0" w:rsidRDefault="009042C0" w:rsidP="009042C0">
      <w:pPr>
        <w:pStyle w:val="Heading3"/>
      </w:pPr>
      <w:bookmarkStart w:id="341" w:name="_Toc197337079"/>
      <w:r>
        <w:t>C.1.3</w:t>
      </w:r>
      <w:r>
        <w:tab/>
        <w:t>Stability of the reactive congestion control</w:t>
      </w:r>
      <w:bookmarkEnd w:id="341"/>
    </w:p>
    <w:p w14:paraId="72E703BA" w14:textId="77777777" w:rsidR="009042C0" w:rsidRDefault="009042C0" w:rsidP="009042C0">
      <w:pPr>
        <w:pStyle w:val="Heading4"/>
      </w:pPr>
      <w:bookmarkStart w:id="342" w:name="_Toc197337080"/>
      <w:r>
        <w:t>C.1.3.1</w:t>
      </w:r>
      <w:r>
        <w:tab/>
        <w:t>Stability of the reactive congestion control without filtering according to [</w:t>
      </w:r>
      <w:r w:rsidRPr="00436A20">
        <w:t>ETSI</w:t>
      </w:r>
      <w:r>
        <w:t> </w:t>
      </w:r>
      <w:r w:rsidRPr="00436A20">
        <w:t>TS</w:t>
      </w:r>
      <w:r>
        <w:t> </w:t>
      </w:r>
      <w:r w:rsidRPr="00436A20">
        <w:t>102</w:t>
      </w:r>
      <w:r>
        <w:t> </w:t>
      </w:r>
      <w:r w:rsidRPr="00436A20">
        <w:t>687</w:t>
      </w:r>
      <w:r>
        <w:t> </w:t>
      </w:r>
      <w:r w:rsidRPr="00436A20">
        <w:t>V1.2.1</w:t>
      </w:r>
      <w:r>
        <w:t>]</w:t>
      </w:r>
      <w:bookmarkEnd w:id="342"/>
    </w:p>
    <w:p w14:paraId="2386E624" w14:textId="77777777" w:rsidR="009042C0" w:rsidRPr="00A131C2" w:rsidRDefault="009042C0" w:rsidP="009042C0">
      <w:pPr>
        <w:pStyle w:val="Heading4"/>
      </w:pPr>
      <w:bookmarkStart w:id="343" w:name="_Toc197337081"/>
      <w:r>
        <w:t>C.1.3.1.1</w:t>
      </w:r>
      <w:r>
        <w:tab/>
        <w:t>Continuous time stability</w:t>
      </w:r>
      <w:bookmarkEnd w:id="343"/>
    </w:p>
    <w:p w14:paraId="0937B864" w14:textId="77777777" w:rsidR="009042C0" w:rsidRDefault="009042C0" w:rsidP="009042C0">
      <w:r>
        <w:t>According to clause </w:t>
      </w:r>
      <w:r>
        <w:fldChar w:fldCharType="begin"/>
      </w:r>
      <w:r>
        <w:instrText xml:space="preserve"> REF Cls_B_Structure \h </w:instrText>
      </w:r>
      <w:r>
        <w:fldChar w:fldCharType="separate"/>
      </w:r>
      <w:r>
        <w:t>B.1.3</w:t>
      </w:r>
      <w:r>
        <w:fldChar w:fldCharType="end"/>
      </w:r>
      <w:r>
        <w:t xml:space="preserve"> the control equation without filtering for a reactive congestion control is:</w:t>
      </w:r>
    </w:p>
    <w:p w14:paraId="39A9887B" w14:textId="77777777" w:rsidR="009042C0" w:rsidRPr="00445DD4" w:rsidRDefault="009042C0" w:rsidP="009042C0">
      <w:pPr>
        <w:pStyle w:val="EQ"/>
      </w:pPr>
      <w:r>
        <w:rPr>
          <w:noProof w:val="0"/>
        </w:rPr>
        <w:tab/>
      </w:r>
      <m:oMath>
        <m:sSub>
          <m:sSubPr>
            <m:ctrlPr>
              <w:rPr>
                <w:rFonts w:ascii="Cambria Math" w:hAnsi="Cambria Math"/>
              </w:rPr>
            </m:ctrlPr>
          </m:sSubPr>
          <m:e>
            <m:r>
              <w:rPr>
                <w:rFonts w:ascii="Cambria Math" w:hAnsi="Cambria Math"/>
              </w:rPr>
              <m:t>u</m:t>
            </m:r>
          </m:e>
          <m:sub>
            <m:r>
              <w:rPr>
                <w:rFonts w:ascii="Cambria Math" w:hAnsi="Cambria Math"/>
              </w:rPr>
              <m:t>max</m:t>
            </m:r>
          </m:sub>
        </m:sSub>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oMath>
      <w:r w:rsidRPr="00445DD4">
        <w:tab/>
        <w:t>(</w:t>
      </w:r>
      <w:bookmarkStart w:id="344" w:name="EQ_umax_reactive"/>
      <w:r w:rsidRPr="00445DD4">
        <w:fldChar w:fldCharType="begin"/>
      </w:r>
      <w:r w:rsidRPr="00445DD4">
        <w:instrText xml:space="preserve"> SEQ Eq \* MERGEFORMAT </w:instrText>
      </w:r>
      <w:r w:rsidRPr="00445DD4">
        <w:fldChar w:fldCharType="separate"/>
      </w:r>
      <w:r>
        <w:t>34</w:t>
      </w:r>
      <w:r w:rsidRPr="00445DD4">
        <w:fldChar w:fldCharType="end"/>
      </w:r>
      <w:bookmarkEnd w:id="344"/>
      <w:r w:rsidRPr="00445DD4">
        <w:t>)</w:t>
      </w:r>
    </w:p>
    <w:p w14:paraId="37E59A58" w14:textId="77777777" w:rsidR="009042C0" w:rsidRPr="00FF650C" w:rsidRDefault="009042C0" w:rsidP="009042C0">
      <w:r>
        <w:t>Equation </w:t>
      </w:r>
      <w:r>
        <w:fldChar w:fldCharType="begin"/>
      </w:r>
      <w:r>
        <w:instrText xml:space="preserve"> REF EQ_umax_reactive \h </w:instrText>
      </w:r>
      <w:r>
        <w:fldChar w:fldCharType="separate"/>
      </w:r>
      <w:r>
        <w:rPr>
          <w:noProof/>
        </w:rPr>
        <w:t>34</w:t>
      </w:r>
      <w:r>
        <w:fldChar w:fldCharType="end"/>
      </w:r>
      <w:r>
        <w:t xml:space="preserve"> leads with equation </w:t>
      </w:r>
      <w:r>
        <w:fldChar w:fldCharType="begin"/>
      </w:r>
      <w:r>
        <w:instrText xml:space="preserve"> REF EQ_dudt \h </w:instrText>
      </w:r>
      <w:r>
        <w:fldChar w:fldCharType="separate"/>
      </w:r>
      <w:r>
        <w:t>17</w:t>
      </w:r>
      <w:r>
        <w:fldChar w:fldCharType="end"/>
      </w:r>
      <w:r>
        <w:t xml:space="preserve"> and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to differential equation </w:t>
      </w:r>
      <w:r>
        <w:fldChar w:fldCharType="begin"/>
      </w:r>
      <w:r>
        <w:instrText xml:space="preserve"> REF EQ_reactive_DEG \h </w:instrText>
      </w:r>
      <w:r>
        <w:fldChar w:fldCharType="separate"/>
      </w:r>
      <w:r>
        <w:rPr>
          <w:noProof/>
        </w:rPr>
        <w:t>35</w:t>
      </w:r>
      <w:r>
        <w:fldChar w:fldCharType="end"/>
      </w:r>
      <w:r w:rsidRPr="0076107C">
        <w:t xml:space="preserve"> </w:t>
      </w:r>
      <w:r>
        <w:t>that can be solved by separation of the variables.</w:t>
      </w:r>
    </w:p>
    <w:p w14:paraId="7E5EFCA1" w14:textId="77777777" w:rsidR="009042C0" w:rsidRDefault="009042C0" w:rsidP="009042C0"/>
    <w:p w14:paraId="1D0EA473" w14:textId="77777777" w:rsidR="009042C0" w:rsidRDefault="009042C0" w:rsidP="009042C0">
      <w:pPr>
        <w:pStyle w:val="EQ"/>
      </w:pPr>
      <w:r w:rsidRPr="00445DD4">
        <w:tab/>
      </w:r>
      <m:oMath>
        <m:f>
          <m:fPr>
            <m:ctrlPr>
              <w:rPr>
                <w:rFonts w:ascii="Cambria Math" w:hAnsi="Cambria Math"/>
              </w:rPr>
            </m:ctrlPr>
          </m:fPr>
          <m:num>
            <m:r>
              <w:rPr>
                <w:rFonts w:ascii="Cambria Math" w:hAnsi="Cambria Math"/>
              </w:rPr>
              <m:t>dCL</m:t>
            </m:r>
          </m:num>
          <m:den>
            <m:r>
              <w:rPr>
                <w:rFonts w:ascii="Cambria Math" w:hAnsi="Cambria Math"/>
              </w:rPr>
              <m:t>dt</m:t>
            </m:r>
          </m:den>
        </m:f>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τ</m:t>
            </m:r>
          </m:den>
        </m:f>
        <m:r>
          <w:rPr>
            <w:rFonts w:ascii="Cambria Math" w:hAnsi="Cambria Math"/>
          </w:rPr>
          <m:t>×</m:t>
        </m:r>
        <m:d>
          <m:dPr>
            <m:ctrlPr>
              <w:rPr>
                <w:rFonts w:ascii="Cambria Math" w:hAnsi="Cambria Math"/>
                <w:i/>
              </w:rPr>
            </m:ctrlPr>
          </m:dPr>
          <m:e>
            <m:f>
              <m:fPr>
                <m:ctrlPr>
                  <w:rPr>
                    <w:rFonts w:ascii="Cambria Math" w:hAnsi="Cambria Math"/>
                  </w:rPr>
                </m:ctrlPr>
              </m:fPr>
              <m:num>
                <m:r>
                  <w:rPr>
                    <w:rFonts w:ascii="Cambria Math" w:hAnsi="Cambria Math"/>
                  </w:rPr>
                  <m:t>N×</m:t>
                </m:r>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CL</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r>
              <w:rPr>
                <w:rFonts w:ascii="Cambria Math" w:hAnsi="Cambria Math"/>
              </w:rPr>
              <m:t>-CL</m:t>
            </m:r>
          </m:e>
        </m:d>
      </m:oMath>
      <w:r w:rsidRPr="00445DD4">
        <w:tab/>
        <w:t>(</w:t>
      </w:r>
      <w:bookmarkStart w:id="345" w:name="EQ_reactive_DEG"/>
      <w:r w:rsidRPr="00445DD4">
        <w:fldChar w:fldCharType="begin"/>
      </w:r>
      <w:r w:rsidRPr="00445DD4">
        <w:instrText xml:space="preserve"> SEQ Eq \* MERGEFORMAT </w:instrText>
      </w:r>
      <w:r w:rsidRPr="00445DD4">
        <w:fldChar w:fldCharType="separate"/>
      </w:r>
      <w:r>
        <w:t>35</w:t>
      </w:r>
      <w:r w:rsidRPr="00445DD4">
        <w:fldChar w:fldCharType="end"/>
      </w:r>
      <w:bookmarkEnd w:id="345"/>
      <w:r w:rsidRPr="00445DD4">
        <w:t>)</w:t>
      </w:r>
    </w:p>
    <w:p w14:paraId="55C7A246" w14:textId="77777777" w:rsidR="009042C0" w:rsidRDefault="009042C0" w:rsidP="009042C0">
      <w:pPr>
        <w:pStyle w:val="EQ"/>
      </w:pPr>
      <w:r w:rsidRPr="00445DD4">
        <w:tab/>
      </w:r>
      <m:oMath>
        <m:r>
          <w:rPr>
            <w:rFonts w:ascii="Cambria Math" w:hAnsi="Cambria Math"/>
          </w:rPr>
          <m:t>τ×</m:t>
        </m:r>
        <m:nary>
          <m:naryPr>
            <m:limLoc m:val="undOvr"/>
            <m:subHide m:val="1"/>
            <m:supHide m:val="1"/>
            <m:ctrlPr>
              <w:rPr>
                <w:rFonts w:ascii="Cambria Math" w:hAnsi="Cambria Math"/>
                <w:i/>
              </w:rPr>
            </m:ctrlPr>
          </m:naryPr>
          <m:sub/>
          <m:sup/>
          <m:e>
            <m:f>
              <m:fPr>
                <m:ctrlPr>
                  <w:rPr>
                    <w:rFonts w:ascii="Cambria Math" w:hAnsi="Cambria Math"/>
                    <w:i/>
                  </w:rPr>
                </m:ctrlPr>
              </m:fPr>
              <m:num>
                <m:r>
                  <w:rPr>
                    <w:rFonts w:ascii="Cambria Math" w:hAnsi="Cambria Math"/>
                  </w:rPr>
                  <m:t>1</m:t>
                </m:r>
              </m:num>
              <m:den>
                <m:d>
                  <m:dPr>
                    <m:ctrlPr>
                      <w:rPr>
                        <w:rFonts w:ascii="Cambria Math" w:hAnsi="Cambria Math"/>
                        <w:i/>
                      </w:rPr>
                    </m:ctrlPr>
                  </m:dPr>
                  <m:e>
                    <m:f>
                      <m:fPr>
                        <m:ctrlPr>
                          <w:rPr>
                            <w:rFonts w:ascii="Cambria Math" w:hAnsi="Cambria Math"/>
                          </w:rPr>
                        </m:ctrlPr>
                      </m:fPr>
                      <m:num>
                        <m:r>
                          <w:rPr>
                            <w:rFonts w:ascii="Cambria Math" w:hAnsi="Cambria Math"/>
                          </w:rPr>
                          <m:t>N×</m:t>
                        </m:r>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CL×</m:t>
                        </m:r>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r>
                      <w:rPr>
                        <w:rFonts w:ascii="Cambria Math" w:hAnsi="Cambria Math"/>
                      </w:rPr>
                      <m:t>-CL</m:t>
                    </m:r>
                  </m:e>
                </m:d>
              </m:den>
            </m:f>
          </m:e>
        </m:nary>
        <m:r>
          <w:rPr>
            <w:rFonts w:ascii="Cambria Math" w:hAnsi="Cambria Math"/>
          </w:rPr>
          <m:t>dCL</m:t>
        </m:r>
        <m:r>
          <m:rPr>
            <m:sty m:val="p"/>
          </m:rPr>
          <w:rPr>
            <w:rFonts w:ascii="Cambria Math" w:hAnsi="Cambria Math"/>
          </w:rPr>
          <m:t>=</m:t>
        </m:r>
        <m:nary>
          <m:naryPr>
            <m:limLoc m:val="undOvr"/>
            <m:subHide m:val="1"/>
            <m:supHide m:val="1"/>
            <m:ctrlPr>
              <w:rPr>
                <w:rFonts w:ascii="Cambria Math" w:hAnsi="Cambria Math"/>
                <w:i/>
              </w:rPr>
            </m:ctrlPr>
          </m:naryPr>
          <m:sub/>
          <m:sup/>
          <m:e>
            <m:r>
              <w:rPr>
                <w:rFonts w:ascii="Cambria Math" w:hAnsi="Cambria Math"/>
              </w:rPr>
              <m:t>1</m:t>
            </m:r>
          </m:e>
        </m:nary>
        <m:box>
          <m:boxPr>
            <m:diff m:val="1"/>
            <m:ctrlPr>
              <w:rPr>
                <w:rFonts w:ascii="Cambria Math" w:hAnsi="Cambria Math"/>
                <w:i/>
              </w:rPr>
            </m:ctrlPr>
          </m:boxPr>
          <m:e>
            <m:r>
              <w:rPr>
                <w:rFonts w:ascii="Cambria Math" w:hAnsi="Cambria Math"/>
              </w:rPr>
              <m:t>dt</m:t>
            </m:r>
          </m:e>
        </m:box>
      </m:oMath>
      <w:r w:rsidRPr="00445DD4">
        <w:tab/>
        <w:t>(</w:t>
      </w:r>
      <w:fldSimple w:instr=" SEQ Eq \* MERGEFORMAT ">
        <w:r>
          <w:t>36</w:t>
        </w:r>
      </w:fldSimple>
      <w:r w:rsidRPr="00445DD4">
        <w:t>)</w:t>
      </w:r>
    </w:p>
    <w:p w14:paraId="66A930BE" w14:textId="77777777" w:rsidR="009042C0" w:rsidRPr="00AD3FD7" w:rsidRDefault="009042C0" w:rsidP="009042C0">
      <w:r>
        <w:t xml:space="preserve">After some calculations this leads to a solution for </w:t>
      </w:r>
      <w:r w:rsidRPr="00673D02">
        <w:rPr>
          <w:i/>
        </w:rPr>
        <w:t>t</w:t>
      </w:r>
      <w:r>
        <w:t xml:space="preserve"> in relation to the step size </w:t>
      </w:r>
      <m:oMath>
        <m:r>
          <w:rPr>
            <w:rFonts w:ascii="Cambria Math" w:hAnsi="Cambria Math"/>
          </w:rPr>
          <m:t>τ</m:t>
        </m:r>
      </m:oMath>
      <w:r>
        <w:t xml:space="preserve"> given by equation </w:t>
      </w:r>
      <w:r>
        <w:fldChar w:fldCharType="begin"/>
      </w:r>
      <w:r>
        <w:instrText xml:space="preserve"> REF EQ_reactive_DEG_solution \h </w:instrText>
      </w:r>
      <w:r>
        <w:fldChar w:fldCharType="separate"/>
      </w:r>
      <w:r>
        <w:rPr>
          <w:noProof/>
        </w:rPr>
        <w:t>37</w:t>
      </w:r>
      <w:r>
        <w:fldChar w:fldCharType="end"/>
      </w:r>
      <w:r>
        <w:t>.</w:t>
      </w:r>
    </w:p>
    <w:p w14:paraId="03BFD6A6" w14:textId="77777777" w:rsidR="009042C0" w:rsidRDefault="009042C0" w:rsidP="009042C0">
      <w:pPr>
        <w:pStyle w:val="EQ"/>
      </w:pPr>
      <w:bookmarkStart w:id="346" w:name="_Hlk184903742"/>
      <w:r>
        <w:rPr>
          <w:iCs/>
        </w:rPr>
        <w:tab/>
      </w:r>
      <m:oMath>
        <m:f>
          <m:fPr>
            <m:ctrlPr>
              <w:rPr>
                <w:rFonts w:ascii="Cambria Math" w:hAnsi="Cambria Math"/>
                <w:i/>
                <w:iCs/>
              </w:rPr>
            </m:ctrlPr>
          </m:fPr>
          <m:num>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0</m:t>
                </m:r>
              </m:sub>
            </m:sSub>
          </m:num>
          <m:den>
            <m:r>
              <w:rPr>
                <w:rFonts w:ascii="Cambria Math" w:hAnsi="Cambria Math"/>
              </w:rPr>
              <m:t>τ</m:t>
            </m:r>
          </m:den>
        </m:f>
        <m:r>
          <m:rPr>
            <m:sty m:val="p"/>
          </m:rPr>
          <w:rPr>
            <w:rFonts w:ascii="Cambria Math" w:hAnsi="Cambria Math"/>
          </w:rPr>
          <m:t>=-</m:t>
        </m:r>
        <m:f>
          <m:fPr>
            <m:ctrlPr>
              <w:rPr>
                <w:rFonts w:ascii="Cambria Math" w:hAnsi="Cambria Math"/>
              </w:rPr>
            </m:ctrlPr>
          </m:fPr>
          <m:num>
            <m: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p>
                      <m:sSupPr>
                        <m:ctrlPr>
                          <w:rPr>
                            <w:rFonts w:ascii="Cambria Math" w:hAnsi="Cambria Math"/>
                          </w:rPr>
                        </m:ctrlPr>
                      </m:sSupPr>
                      <m:e>
                        <m:r>
                          <w:rPr>
                            <w:rFonts w:ascii="Cambria Math" w:hAnsi="Cambria Math"/>
                          </w:rPr>
                          <m:t>CL</m:t>
                        </m:r>
                      </m:e>
                      <m:sup>
                        <m:r>
                          <m:rPr>
                            <m:sty m:val="p"/>
                          </m:rPr>
                          <w:rPr>
                            <w:rFonts w:ascii="Cambria Math" w:hAnsi="Cambria Math"/>
                          </w:rPr>
                          <m:t>2</m:t>
                        </m:r>
                      </m:sup>
                    </m:sSup>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CL</m:t>
                    </m:r>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T</m:t>
                        </m:r>
                      </m:e>
                      <m:sub>
                        <m:r>
                          <m:rPr>
                            <m:nor/>
                          </m:rPr>
                          <m:t>on</m:t>
                        </m:r>
                      </m:sub>
                    </m:sSub>
                  </m:e>
                </m:d>
              </m:e>
            </m:func>
            <m:r>
              <m:rPr>
                <m:sty m:val="p"/>
              </m:rPr>
              <w:rPr>
                <w:rFonts w:ascii="Cambria Math" w:hAnsi="Cambria Math"/>
              </w:rPr>
              <m:t>-</m:t>
            </m:r>
            <m:f>
              <m:fPr>
                <m:ctrlPr>
                  <w:rPr>
                    <w:rFonts w:ascii="Cambria Math" w:hAnsi="Cambria Math"/>
                  </w:rPr>
                </m:ctrlPr>
              </m:fPr>
              <m:num>
                <m:r>
                  <w:rPr>
                    <w:rFonts w:ascii="Cambria Math" w:hAnsi="Cambria Math"/>
                  </w:rPr>
                  <m:t>B</m:t>
                </m:r>
              </m:num>
              <m:den>
                <m:r>
                  <w:rPr>
                    <w:rFonts w:ascii="Cambria Math" w:hAnsi="Cambria Math"/>
                  </w:rPr>
                  <m:t>A</m:t>
                </m:r>
              </m:den>
            </m:f>
            <m:r>
              <m:rPr>
                <m:sty m:val="p"/>
              </m:rPr>
              <w:rPr>
                <w:rFonts w:ascii="Cambria Math" w:hAnsi="Cambria Math"/>
              </w:rPr>
              <m:t>×</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CL</m:t>
                        </m:r>
                        <m:r>
                          <m:rPr>
                            <m:nor/>
                          </m: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A</m:t>
                        </m:r>
                      </m:num>
                      <m:den>
                        <m:r>
                          <m:rPr>
                            <m:sty m:val="p"/>
                          </m:rPr>
                          <w:rPr>
                            <w:rFonts w:ascii="Cambria Math" w:hAnsi="Cambria Math"/>
                          </w:rPr>
                          <m:t>2×</m:t>
                        </m:r>
                        <m:r>
                          <w:rPr>
                            <w:rFonts w:ascii="Cambria Math" w:hAnsi="Cambria Math"/>
                          </w:rPr>
                          <m:t>CL</m:t>
                        </m:r>
                        <m:sSub>
                          <m:sSubPr>
                            <m:ctrlPr>
                              <w:rPr>
                                <w:rFonts w:ascii="Cambria Math" w:hAnsi="Cambria Math"/>
                              </w:rPr>
                            </m:ctrlPr>
                          </m:sSubPr>
                          <m:e>
                            <m:r>
                              <m:rPr>
                                <m:sty m:val="p"/>
                              </m:rPr>
                              <w:rPr>
                                <w:rFonts w:ascii="Cambria Math" w:hAnsi="Cambria Math"/>
                              </w:rPr>
                              <m:t>×</m:t>
                            </m:r>
                            <m:r>
                              <w:rPr>
                                <w:rFonts w:ascii="Cambria Math" w:hAnsi="Cambria Math"/>
                              </w:rPr>
                              <m:t>T</m:t>
                            </m:r>
                          </m:e>
                          <m:sub>
                            <m:r>
                              <w:rPr>
                                <w:rFonts w:ascii="Cambria Math" w:hAnsi="Cambria Math"/>
                              </w:rPr>
                              <m:t>a</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A</m:t>
                        </m:r>
                      </m:den>
                    </m:f>
                  </m:e>
                </m:d>
              </m:e>
            </m:func>
          </m:e>
        </m:d>
      </m:oMath>
      <w:r w:rsidRPr="00445DD4">
        <w:tab/>
        <w:t>(</w:t>
      </w:r>
      <w:bookmarkStart w:id="347" w:name="EQ_reactive_DEG_solution"/>
      <w:r w:rsidRPr="00445DD4">
        <w:fldChar w:fldCharType="begin"/>
      </w:r>
      <w:r w:rsidRPr="00445DD4">
        <w:instrText xml:space="preserve"> SEQ Eq \* MERGEFORMAT </w:instrText>
      </w:r>
      <w:r w:rsidRPr="00445DD4">
        <w:fldChar w:fldCharType="separate"/>
      </w:r>
      <w:r>
        <w:t>37</w:t>
      </w:r>
      <w:r w:rsidRPr="00445DD4">
        <w:fldChar w:fldCharType="end"/>
      </w:r>
      <w:bookmarkEnd w:id="347"/>
      <w:r w:rsidRPr="00445DD4">
        <w:t>)</w:t>
      </w:r>
    </w:p>
    <w:p w14:paraId="719A47D0" w14:textId="77777777" w:rsidR="009042C0" w:rsidRDefault="009042C0" w:rsidP="009042C0">
      <w:r>
        <w:t xml:space="preserve">Where </w:t>
      </w:r>
      <w:r w:rsidRPr="00673D02">
        <w:rPr>
          <w:i/>
        </w:rPr>
        <w:t>T</w:t>
      </w:r>
      <w:r w:rsidRPr="00673D02">
        <w:rPr>
          <w:i/>
          <w:vertAlign w:val="subscript"/>
        </w:rPr>
        <w:t>0</w:t>
      </w:r>
      <w:r>
        <w:t xml:space="preserve"> is an integration constant to adjust the time offset and A and B are constants given by</w:t>
      </w:r>
    </w:p>
    <w:p w14:paraId="46C1E887" w14:textId="77777777" w:rsidR="009042C0" w:rsidRDefault="009042C0" w:rsidP="009042C0">
      <w:pPr>
        <w:pStyle w:val="EQ"/>
      </w:pPr>
      <w:r>
        <w:rPr>
          <w:noProof w:val="0"/>
        </w:rPr>
        <w:tab/>
      </w:r>
      <m:oMath>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T</m:t>
                    </m:r>
                  </m:e>
                  <m:sub>
                    <m:r>
                      <m:rPr>
                        <m:sty m:val="p"/>
                      </m:rPr>
                      <w:rPr>
                        <w:rFonts w:ascii="Cambria Math" w:hAnsi="Cambria Math"/>
                      </w:rPr>
                      <m:t>on</m:t>
                    </m:r>
                  </m:sub>
                </m:sSub>
              </m:e>
              <m:sup>
                <m:r>
                  <w:rPr>
                    <w:rFonts w:ascii="Cambria Math" w:hAnsi="Cambria Math"/>
                  </w:rPr>
                  <m:t>2</m:t>
                </m:r>
              </m:sup>
            </m:sSup>
            <m:r>
              <w:rPr>
                <w:rFonts w:ascii="Cambria Math" w:hAnsi="Cambria Math"/>
              </w:rPr>
              <m:t>+(2×</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+4×N</m:t>
            </m:r>
            <m:sSub>
              <m:sSubPr>
                <m:ctrlPr>
                  <w:rPr>
                    <w:rFonts w:ascii="Cambria Math" w:hAnsi="Cambria Math"/>
                  </w:rPr>
                </m:ctrlPr>
              </m:sSubPr>
              <m:e>
                <m:r>
                  <w:rPr>
                    <w:rFonts w:ascii="Cambria Math" w:hAnsi="Cambria Math"/>
                  </w:rPr>
                  <m:t>×T</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on</m:t>
                </m:r>
              </m:sub>
            </m:sSub>
            <m:r>
              <w:rPr>
                <w:rFonts w:ascii="Cambria Math" w:hAnsi="Cambria Math"/>
              </w:rPr>
              <m:t>+</m:t>
            </m:r>
            <m:sSup>
              <m:sSupPr>
                <m:ctrlPr>
                  <w:rPr>
                    <w:rFonts w:ascii="Cambria Math" w:hAnsi="Cambria Math"/>
                  </w:rPr>
                </m:ctrlPr>
              </m:sSupPr>
              <m:e>
                <m:sSub>
                  <m:sSubPr>
                    <m:ctrlPr>
                      <w:rPr>
                        <w:rFonts w:ascii="Cambria Math" w:hAnsi="Cambria Math"/>
                      </w:rPr>
                    </m:ctrlPr>
                  </m:sSubPr>
                  <m:e>
                    <m:r>
                      <w:rPr>
                        <w:rFonts w:ascii="Cambria Math" w:hAnsi="Cambria Math"/>
                      </w:rPr>
                      <m:t>T</m:t>
                    </m:r>
                  </m:e>
                  <m:sub>
                    <m:r>
                      <w:rPr>
                        <w:rFonts w:ascii="Cambria Math" w:hAnsi="Cambria Math"/>
                      </w:rPr>
                      <m:t>b</m:t>
                    </m:r>
                  </m:sub>
                </m:sSub>
              </m:e>
              <m:sup>
                <m:r>
                  <w:rPr>
                    <w:rFonts w:ascii="Cambria Math" w:hAnsi="Cambria Math"/>
                  </w:rPr>
                  <m:t>2</m:t>
                </m:r>
              </m:sup>
            </m:sSup>
          </m:e>
        </m:rad>
        <m:r>
          <m:rPr>
            <m:sty m:val="p"/>
          </m:rPr>
          <w:rPr>
            <w:rFonts w:ascii="Cambria Math" w:hAnsi="Cambria Math"/>
          </w:rPr>
          <m:t>=</m:t>
        </m:r>
        <m:r>
          <w:rPr>
            <w:rFonts w:ascii="Cambria Math" w:hAnsi="Cambria Math"/>
          </w:rPr>
          <m:t>A</m:t>
        </m:r>
        <m:r>
          <m:rPr>
            <m:sty m:val="p"/>
          </m:rPr>
          <w:rPr>
            <w:rFonts w:ascii="Cambria Math" w:hAnsi="Cambria Math"/>
          </w:rPr>
          <m:t xml:space="preserve">   and   </m:t>
        </m:r>
        <m:sSub>
          <m:sSubPr>
            <m:ctrlPr>
              <w:rPr>
                <w:rFonts w:ascii="Cambria Math" w:hAnsi="Cambria Math"/>
              </w:rPr>
            </m:ctrlPr>
          </m:sSubPr>
          <m:e>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+T</m:t>
            </m:r>
          </m:e>
          <m:sub>
            <m:r>
              <w:rPr>
                <w:rFonts w:ascii="Cambria Math" w:hAnsi="Cambria Math"/>
              </w:rPr>
              <m:t>on</m:t>
            </m:r>
          </m:sub>
        </m:sSub>
        <m:r>
          <m:rPr>
            <m:sty m:val="p"/>
          </m:rPr>
          <w:rPr>
            <w:rFonts w:ascii="Cambria Math" w:hAnsi="Cambria Math"/>
          </w:rPr>
          <m:t>=</m:t>
        </m:r>
        <m:r>
          <w:rPr>
            <w:rFonts w:ascii="Cambria Math" w:hAnsi="Cambria Math"/>
          </w:rPr>
          <m:t>B</m:t>
        </m:r>
      </m:oMath>
      <w:r>
        <w:rPr>
          <w:noProof w:val="0"/>
        </w:rPr>
        <w:t>.</w:t>
      </w:r>
      <w:r w:rsidRPr="00445DD4">
        <w:tab/>
        <w:t>(</w:t>
      </w:r>
      <w:fldSimple w:instr=" SEQ Eq \* MERGEFORMAT ">
        <w:r>
          <w:t>39</w:t>
        </w:r>
      </w:fldSimple>
      <w:r w:rsidRPr="00445DD4">
        <w:t>)</w:t>
      </w:r>
    </w:p>
    <w:bookmarkEnd w:id="346"/>
    <w:p w14:paraId="18026786" w14:textId="77777777" w:rsidR="009042C0" w:rsidRDefault="009042C0" w:rsidP="009042C0">
      <w:r>
        <w:t>The solution of the differential equation shows no oscillating term. Together with the convergence criteria and the initial value, this defines a parameter range and boundary conditions where a stable convergence to the control equilibrium of the continuous time reactive congestion control algorithm can be granted analytically.</w:t>
      </w:r>
    </w:p>
    <w:p w14:paraId="2F4A4969" w14:textId="116B963C" w:rsidR="009042C0" w:rsidRPr="0076107C" w:rsidRDefault="009042C0" w:rsidP="009042C0">
      <w:r>
        <w:fldChar w:fldCharType="begin"/>
      </w:r>
      <w:r>
        <w:instrText xml:space="preserve"> REF _Ref191596270 \h </w:instrText>
      </w:r>
      <w:r>
        <w:fldChar w:fldCharType="separate"/>
      </w:r>
      <w:r w:rsidR="00D22235" w:rsidRPr="00445DD4">
        <w:t xml:space="preserve">Figure </w:t>
      </w:r>
      <w:r w:rsidR="00D22235">
        <w:rPr>
          <w:noProof/>
        </w:rPr>
        <w:t>27</w:t>
      </w:r>
      <w:r>
        <w:fldChar w:fldCharType="end"/>
      </w:r>
      <w:r>
        <w:t xml:space="preserve"> shows in red the solution given by equation </w:t>
      </w:r>
      <w:r>
        <w:fldChar w:fldCharType="begin"/>
      </w:r>
      <w:r>
        <w:instrText xml:space="preserve"> REF EQ_reactive_DEG_solution \h </w:instrText>
      </w:r>
      <w:r>
        <w:fldChar w:fldCharType="separate"/>
      </w:r>
      <w:r>
        <w:rPr>
          <w:noProof/>
        </w:rPr>
        <w:t>37</w:t>
      </w:r>
      <w:r>
        <w:fldChar w:fldCharType="end"/>
      </w:r>
      <w:r>
        <w:t xml:space="preserve"> for </w:t>
      </w:r>
      <w:r w:rsidRPr="00EF5A13">
        <w:rPr>
          <w:i/>
        </w:rPr>
        <w:t>N</w:t>
      </w:r>
      <w:r>
        <w:rPr>
          <w:i/>
        </w:rPr>
        <w:t> </w:t>
      </w:r>
      <w:r>
        <w:t xml:space="preserve">= 100, </w:t>
      </w:r>
      <w:r w:rsidRPr="00EF5A13">
        <w:rPr>
          <w:i/>
        </w:rPr>
        <w:t>T</w:t>
      </w:r>
      <w:r w:rsidRPr="00EF5A13">
        <w:rPr>
          <w:i/>
          <w:vertAlign w:val="subscript"/>
        </w:rPr>
        <w:t>on</w:t>
      </w:r>
      <w:r>
        <w:t xml:space="preserve"> = 1 ms, and the parameters given in </w:t>
      </w:r>
      <w:r>
        <w:fldChar w:fldCharType="begin"/>
      </w:r>
      <w:r>
        <w:instrText xml:space="preserve"> REF _Ref191556164 \h </w:instrText>
      </w:r>
      <w:r>
        <w:fldChar w:fldCharType="separate"/>
      </w:r>
      <w:r>
        <w:t>Table </w:t>
      </w:r>
      <w:r>
        <w:rPr>
          <w:noProof/>
        </w:rPr>
        <w:t>1</w:t>
      </w:r>
      <w:r>
        <w:fldChar w:fldCharType="end"/>
      </w:r>
      <w:r>
        <w:t xml:space="preserve">. Where the offset </w:t>
      </w:r>
      <w:r w:rsidRPr="00E73B7A">
        <w:rPr>
          <w:i/>
        </w:rPr>
        <w:t>T</w:t>
      </w:r>
      <w:r w:rsidRPr="00E73B7A">
        <w:rPr>
          <w:i/>
          <w:vertAlign w:val="subscript"/>
        </w:rPr>
        <w:t>0</w:t>
      </w:r>
      <w:r>
        <w:t xml:space="preserve"> was adjusted so that the time </w:t>
      </w:r>
      <w:r w:rsidRPr="00673D02">
        <w:rPr>
          <w:i/>
        </w:rPr>
        <w:t>t</w:t>
      </w:r>
      <w:r>
        <w:t xml:space="preserve"> is zero for a channel load </w:t>
      </w:r>
      <w:r w:rsidRPr="00673D02">
        <w:rPr>
          <w:i/>
        </w:rPr>
        <w:t>CL</w:t>
      </w:r>
      <w:r>
        <w:t xml:space="preserve"> equal to one. The blue crosses show a numerical solution starting at a </w:t>
      </w:r>
      <w:r w:rsidRPr="00673D02">
        <w:rPr>
          <w:i/>
          <w:iCs/>
        </w:rPr>
        <w:t>CL</w:t>
      </w:r>
      <w:r>
        <w:t xml:space="preserve"> of one. The step size for this numeric solution is </w:t>
      </w:r>
      <m:oMath>
        <m:f>
          <m:fPr>
            <m:type m:val="lin"/>
            <m:ctrlPr>
              <w:rPr>
                <w:rFonts w:ascii="Cambria Math" w:hAnsi="Cambria Math"/>
                <w:i/>
              </w:rPr>
            </m:ctrlPr>
          </m:fPr>
          <m:num>
            <m:r>
              <w:rPr>
                <w:rFonts w:ascii="Cambria Math" w:hAnsi="Cambria Math"/>
              </w:rPr>
              <m:t>τ</m:t>
            </m:r>
          </m:num>
          <m:den>
            <m:r>
              <w:rPr>
                <w:rFonts w:ascii="Cambria Math" w:hAnsi="Cambria Math"/>
              </w:rPr>
              <m:t>50</m:t>
            </m:r>
          </m:den>
        </m:f>
      </m:oMath>
      <w:r>
        <w:t xml:space="preserve">. With this small step size, the difference to the analytic solution is neglectable. Furthermore, the analytic solution shows for a </w:t>
      </w:r>
      <w:r w:rsidRPr="00673D02">
        <w:rPr>
          <w:i/>
        </w:rPr>
        <w:t>CL</w:t>
      </w:r>
      <w:r>
        <w:t xml:space="preserve"> below 0,22 that the </w:t>
      </w:r>
      <w:r w:rsidRPr="00673D02">
        <w:rPr>
          <w:i/>
        </w:rPr>
        <w:t>CL</w:t>
      </w:r>
      <w:r>
        <w:t xml:space="preserve"> converges with increasing time </w:t>
      </w:r>
      <w:r w:rsidRPr="00EF5A13">
        <w:rPr>
          <w:i/>
        </w:rPr>
        <w:t>t</w:t>
      </w:r>
      <w:r>
        <w:t xml:space="preserve"> to decreasing channel load </w:t>
      </w:r>
      <w:r w:rsidRPr="00673D02">
        <w:rPr>
          <w:i/>
          <w:iCs/>
        </w:rPr>
        <w:t>CL</w:t>
      </w:r>
      <w:r>
        <w:t xml:space="preserve"> values and does not reach the positive equilibrium at </w:t>
      </w:r>
      <w:r w:rsidRPr="00673D02">
        <w:rPr>
          <w:i/>
        </w:rPr>
        <w:t>CL</w:t>
      </w:r>
      <w:r>
        <w:t xml:space="preserve">=0,405 as also shown in </w:t>
      </w:r>
      <w:r>
        <w:fldChar w:fldCharType="begin"/>
      </w:r>
      <w:r>
        <w:instrText xml:space="preserve"> REF _Ref191573622 \h </w:instrText>
      </w:r>
      <w:r>
        <w:fldChar w:fldCharType="separate"/>
      </w:r>
      <w:r w:rsidR="00D22235" w:rsidRPr="00445DD4">
        <w:t xml:space="preserve">Figure </w:t>
      </w:r>
      <w:r w:rsidR="00D22235">
        <w:rPr>
          <w:noProof/>
        </w:rPr>
        <w:t>25</w:t>
      </w:r>
      <w:r>
        <w:fldChar w:fldCharType="end"/>
      </w:r>
      <w:r>
        <w:t xml:space="preserve">. </w:t>
      </w:r>
    </w:p>
    <w:p w14:paraId="4FEF10CB" w14:textId="77777777" w:rsidR="009042C0" w:rsidRDefault="009042C0" w:rsidP="009042C0">
      <w:pPr>
        <w:pStyle w:val="FL"/>
      </w:pPr>
      <w:r>
        <w:rPr>
          <w:noProof/>
          <w:lang w:val="it-IT" w:eastAsia="it-IT"/>
        </w:rPr>
        <w:drawing>
          <wp:inline distT="0" distB="0" distL="0" distR="0" wp14:anchorId="220DCE6A" wp14:editId="06B48FA7">
            <wp:extent cx="4053649" cy="3168000"/>
            <wp:effectExtent l="0" t="0" r="4445" b="0"/>
            <wp:docPr id="124751816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518162" name="Grafik 1"/>
                    <pic:cNvPicPr/>
                  </pic:nvPicPr>
                  <pic:blipFill rotWithShape="1">
                    <a:blip r:embed="rId57" cstate="print">
                      <a:extLst>
                        <a:ext uri="{28A0092B-C50C-407E-A947-70E740481C1C}">
                          <a14:useLocalDpi xmlns:a14="http://schemas.microsoft.com/office/drawing/2010/main" val="0"/>
                        </a:ext>
                        <a:ext uri="{96DAC541-7B7A-43D3-8B79-37D633B846F1}">
                          <asvg:svgBlip xmlns:asvg="http://schemas.microsoft.com/office/drawing/2016/SVG/main" r:embed="rId58"/>
                        </a:ext>
                      </a:extLst>
                    </a:blip>
                    <a:srcRect t="6379"/>
                    <a:stretch/>
                  </pic:blipFill>
                  <pic:spPr bwMode="auto">
                    <a:xfrm>
                      <a:off x="0" y="0"/>
                      <a:ext cx="4056349" cy="3170110"/>
                    </a:xfrm>
                    <a:prstGeom prst="rect">
                      <a:avLst/>
                    </a:prstGeom>
                    <a:ln>
                      <a:noFill/>
                    </a:ln>
                    <a:extLst>
                      <a:ext uri="{53640926-AAD7-44D8-BBD7-CCE9431645EC}">
                        <a14:shadowObscured xmlns:a14="http://schemas.microsoft.com/office/drawing/2010/main"/>
                      </a:ext>
                    </a:extLst>
                  </pic:spPr>
                </pic:pic>
              </a:graphicData>
            </a:graphic>
          </wp:inline>
        </w:drawing>
      </w:r>
    </w:p>
    <w:p w14:paraId="216418CF" w14:textId="676F4872" w:rsidR="009042C0" w:rsidRDefault="009042C0" w:rsidP="009042C0">
      <w:pPr>
        <w:pStyle w:val="TF"/>
      </w:pPr>
      <w:bookmarkStart w:id="348" w:name="_Ref191596270"/>
      <w:r w:rsidRPr="00445DD4">
        <w:t xml:space="preserve">Figure </w:t>
      </w:r>
      <w:r w:rsidR="00115785">
        <w:fldChar w:fldCharType="begin"/>
      </w:r>
      <w:r w:rsidR="00115785">
        <w:instrText xml:space="preserve"> SEQ Figure \* ARABIC </w:instrText>
      </w:r>
      <w:r w:rsidR="00115785">
        <w:fldChar w:fldCharType="separate"/>
      </w:r>
      <w:r w:rsidR="00115785">
        <w:rPr>
          <w:noProof/>
        </w:rPr>
        <w:t>27</w:t>
      </w:r>
      <w:r w:rsidR="00115785">
        <w:rPr>
          <w:noProof/>
        </w:rPr>
        <w:fldChar w:fldCharType="end"/>
      </w:r>
      <w:bookmarkEnd w:id="348"/>
      <w:r w:rsidRPr="00445DD4">
        <w:tab/>
      </w:r>
      <w:r>
        <w:t xml:space="preserve">Analytic and numeric solution of the continuous time reactive congestion control </w:t>
      </w:r>
      <w:r>
        <w:br/>
        <w:t xml:space="preserve">for </w:t>
      </w:r>
      <w:r w:rsidRPr="00EF5A13">
        <w:rPr>
          <w:i/>
        </w:rPr>
        <w:t>N</w:t>
      </w:r>
      <w:r>
        <w:rPr>
          <w:i/>
        </w:rPr>
        <w:t> </w:t>
      </w:r>
      <w:r>
        <w:t xml:space="preserve">= 100, </w:t>
      </w:r>
      <w:r w:rsidRPr="00EF5A13">
        <w:rPr>
          <w:i/>
        </w:rPr>
        <w:t>T</w:t>
      </w:r>
      <w:r w:rsidRPr="00EF5A13">
        <w:rPr>
          <w:i/>
          <w:vertAlign w:val="subscript"/>
        </w:rPr>
        <w:t>on</w:t>
      </w:r>
      <w:r>
        <w:t xml:space="preserve"> = 1 ms, and the parameters given in </w:t>
      </w:r>
      <w:r>
        <w:fldChar w:fldCharType="begin"/>
      </w:r>
      <w:r>
        <w:instrText xml:space="preserve"> REF _Ref191556164 \h </w:instrText>
      </w:r>
      <w:r>
        <w:fldChar w:fldCharType="separate"/>
      </w:r>
      <w:r>
        <w:t>Table </w:t>
      </w:r>
      <w:r>
        <w:rPr>
          <w:noProof/>
        </w:rPr>
        <w:t>1</w:t>
      </w:r>
      <w:r>
        <w:fldChar w:fldCharType="end"/>
      </w:r>
    </w:p>
    <w:p w14:paraId="1818879B" w14:textId="77777777" w:rsidR="009042C0" w:rsidRPr="00A131C2" w:rsidRDefault="009042C0" w:rsidP="009042C0">
      <w:pPr>
        <w:pStyle w:val="Heading4"/>
      </w:pPr>
      <w:bookmarkStart w:id="349" w:name="_Toc197337082"/>
      <w:r>
        <w:t>C.1.3.1.2</w:t>
      </w:r>
      <w:r>
        <w:tab/>
        <w:t xml:space="preserve">Discrete </w:t>
      </w:r>
      <w:r w:rsidRPr="0099282A">
        <w:rPr>
          <w:i/>
          <w:iCs/>
        </w:rPr>
        <w:t>T</w:t>
      </w:r>
      <w:r w:rsidRPr="0099282A">
        <w:rPr>
          <w:i/>
          <w:iCs/>
          <w:vertAlign w:val="subscript"/>
        </w:rPr>
        <w:t>off</w:t>
      </w:r>
      <w:r>
        <w:t xml:space="preserve"> stability and convergence speed</w:t>
      </w:r>
      <w:bookmarkEnd w:id="349"/>
    </w:p>
    <w:p w14:paraId="001706F3" w14:textId="01AC541A" w:rsidR="009042C0" w:rsidRDefault="009042C0" w:rsidP="009042C0">
      <w:r>
        <w:fldChar w:fldCharType="begin"/>
      </w:r>
      <w:r>
        <w:instrText xml:space="preserve"> REF _Ref191596270 \h </w:instrText>
      </w:r>
      <w:r>
        <w:fldChar w:fldCharType="separate"/>
      </w:r>
      <w:r w:rsidR="00D22235" w:rsidRPr="00445DD4">
        <w:t xml:space="preserve">Figure </w:t>
      </w:r>
      <w:r w:rsidR="00D22235">
        <w:rPr>
          <w:noProof/>
        </w:rPr>
        <w:t>27</w:t>
      </w:r>
      <w:r>
        <w:fldChar w:fldCharType="end"/>
      </w:r>
      <w:r>
        <w:t xml:space="preserve"> shows that a discrete time numeric solution of the reactive congestion control can reproduce the analytic solution when the time step size is small enough. This numeric solution uses 100 steps to converge to a value close to the equilibrium. Assuming a time step size of 100 ms, such an implementation could need around10 seconds to converge to a CL close to the control equilibrium, what is much longer than the time constants to be expected in mobile radio channels and road traffic scenarios.</w:t>
      </w:r>
    </w:p>
    <w:p w14:paraId="0E725041" w14:textId="1CF9BCD5" w:rsidR="009042C0" w:rsidRDefault="009042C0" w:rsidP="009042C0">
      <w:r>
        <w:t xml:space="preserve">The numeric solution shown in </w:t>
      </w:r>
      <w:r>
        <w:fldChar w:fldCharType="begin"/>
      </w:r>
      <w:r>
        <w:instrText xml:space="preserve"> REF _Ref191596270 \h </w:instrText>
      </w:r>
      <w:r>
        <w:fldChar w:fldCharType="separate"/>
      </w:r>
      <w:r w:rsidR="00D22235" w:rsidRPr="00445DD4">
        <w:t xml:space="preserve">Figure </w:t>
      </w:r>
      <w:r w:rsidR="00D22235">
        <w:rPr>
          <w:noProof/>
        </w:rPr>
        <w:t>27</w:t>
      </w:r>
      <w:r>
        <w:fldChar w:fldCharType="end"/>
      </w:r>
      <w:r>
        <w:t xml:space="preserve"> is calculated iteratively using equation </w:t>
      </w:r>
      <w:r>
        <w:fldChar w:fldCharType="begin"/>
      </w:r>
      <w:r>
        <w:instrText xml:space="preserve"> REF EQ_reactive_numeric \h </w:instrText>
      </w:r>
      <w:r>
        <w:fldChar w:fldCharType="separate"/>
      </w:r>
      <w:r>
        <w:rPr>
          <w:noProof/>
        </w:rPr>
        <w:t>39</w:t>
      </w:r>
      <w:r>
        <w:fldChar w:fldCharType="end"/>
      </w:r>
      <w:r>
        <w:t xml:space="preserve"> and the parameters given in </w:t>
      </w:r>
      <w:r>
        <w:fldChar w:fldCharType="begin"/>
      </w:r>
      <w:r>
        <w:instrText xml:space="preserve"> REF _Ref191556164 \h </w:instrText>
      </w:r>
      <w:r>
        <w:fldChar w:fldCharType="separate"/>
      </w:r>
      <w:r>
        <w:t>Table </w:t>
      </w:r>
      <w:r>
        <w:rPr>
          <w:noProof/>
        </w:rPr>
        <w:t>1</w:t>
      </w:r>
      <w:r>
        <w:fldChar w:fldCharType="end"/>
      </w:r>
      <w:r>
        <w:t xml:space="preserve">when setting </w:t>
      </w:r>
      <m:oMath>
        <m:r>
          <w:rPr>
            <w:rFonts w:ascii="Cambria Math" w:hAnsi="Cambria Math"/>
          </w:rPr>
          <m:t>α=0,02</m:t>
        </m:r>
      </m:oMath>
      <w:r>
        <w:t xml:space="preserve">. </w:t>
      </w:r>
    </w:p>
    <w:p w14:paraId="527D7507" w14:textId="77777777" w:rsidR="009042C0" w:rsidRDefault="009042C0" w:rsidP="009042C0">
      <w:pPr>
        <w:pStyle w:val="EQ"/>
      </w:pPr>
      <w:r>
        <w:rPr>
          <w:noProof w:val="0"/>
        </w:rPr>
        <w:tab/>
      </w:r>
      <m:oMath>
        <m:r>
          <w:rPr>
            <w:rFonts w:ascii="Cambria Math" w:hAnsi="Cambria Math"/>
          </w:rPr>
          <m:t>CL</m:t>
        </m:r>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r>
          <w:rPr>
            <w:rFonts w:ascii="Cambria Math" w:hAnsi="Cambria Math"/>
          </w:rPr>
          <m:t>+α×</m:t>
        </m:r>
        <m:d>
          <m:dPr>
            <m:ctrlPr>
              <w:rPr>
                <w:rFonts w:ascii="Cambria Math" w:hAnsi="Cambria Math"/>
              </w:rPr>
            </m:ctrlPr>
          </m:dPr>
          <m:e>
            <m:f>
              <m:fPr>
                <m:ctrlPr>
                  <w:rPr>
                    <w:rFonts w:ascii="Cambria Math" w:hAnsi="Cambria Math"/>
                  </w:rPr>
                </m:ctrlPr>
              </m:fPr>
              <m:num>
                <m:r>
                  <w:rPr>
                    <w:rFonts w:ascii="Cambria Math" w:hAnsi="Cambria Math"/>
                  </w:rPr>
                  <m:t>N×</m:t>
                </m:r>
                <m:sSub>
                  <m:sSubPr>
                    <m:ctrlPr>
                      <w:rPr>
                        <w:rFonts w:ascii="Cambria Math" w:hAnsi="Cambria Math"/>
                      </w:rPr>
                    </m:ctrlPr>
                  </m:sSubPr>
                  <m:e>
                    <m:r>
                      <w:rPr>
                        <w:rFonts w:ascii="Cambria Math" w:hAnsi="Cambria Math"/>
                      </w:rPr>
                      <m:t>T</m:t>
                    </m:r>
                  </m:e>
                  <m:sub>
                    <m:r>
                      <w:rPr>
                        <w:rFonts w:ascii="Cambria Math" w:hAnsi="Cambria Math"/>
                      </w:rPr>
                      <m:t>on</m:t>
                    </m:r>
                  </m:sub>
                </m:sSub>
              </m:num>
              <m:den>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e>
        </m:d>
      </m:oMath>
      <w:r w:rsidRPr="00445DD4">
        <w:tab/>
        <w:t>(</w:t>
      </w:r>
      <w:bookmarkStart w:id="350" w:name="EQ_reactive_numeric"/>
      <w:r w:rsidRPr="00445DD4">
        <w:fldChar w:fldCharType="begin"/>
      </w:r>
      <w:r w:rsidRPr="00445DD4">
        <w:instrText xml:space="preserve"> SEQ Eq \* MERGEFORMAT </w:instrText>
      </w:r>
      <w:r w:rsidRPr="00445DD4">
        <w:fldChar w:fldCharType="separate"/>
      </w:r>
      <w:r>
        <w:t>39</w:t>
      </w:r>
      <w:r w:rsidRPr="00445DD4">
        <w:fldChar w:fldCharType="end"/>
      </w:r>
      <w:bookmarkEnd w:id="350"/>
      <w:r w:rsidRPr="00445DD4">
        <w:t>)</w:t>
      </w:r>
    </w:p>
    <w:p w14:paraId="31FF6381" w14:textId="6D79F623" w:rsidR="009042C0" w:rsidRPr="00736114" w:rsidRDefault="009042C0" w:rsidP="009042C0">
      <w:r>
        <w:t>Equation </w:t>
      </w:r>
      <w:r>
        <w:fldChar w:fldCharType="begin"/>
      </w:r>
      <w:r>
        <w:instrText xml:space="preserve"> REF EQ_reactive_numeric \h </w:instrText>
      </w:r>
      <w:r>
        <w:fldChar w:fldCharType="separate"/>
      </w:r>
      <w:r>
        <w:rPr>
          <w:noProof/>
        </w:rPr>
        <w:t>39</w:t>
      </w:r>
      <w:r>
        <w:fldChar w:fldCharType="end"/>
      </w:r>
      <w:r>
        <w:t xml:space="preserve"> follows from equation </w:t>
      </w:r>
      <w:r>
        <w:fldChar w:fldCharType="begin"/>
      </w:r>
      <w:r>
        <w:instrText xml:space="preserve"> REF EQ_umax_t \h </w:instrText>
      </w:r>
      <w:r>
        <w:fldChar w:fldCharType="separate"/>
      </w:r>
      <w:r>
        <w:rPr>
          <w:noProof/>
        </w:rPr>
        <w:t>11</w:t>
      </w:r>
      <w:r>
        <w:fldChar w:fldCharType="end"/>
      </w:r>
      <w:r>
        <w:t xml:space="preserve"> when using c</w:t>
      </w:r>
      <w:r w:rsidRPr="00673D02">
        <w:rPr>
          <w:vertAlign w:val="subscript"/>
        </w:rPr>
        <w:t>fn</w:t>
      </w:r>
      <w:r>
        <w:t xml:space="preserve"> from equation </w:t>
      </w:r>
      <w:r>
        <w:fldChar w:fldCharType="begin"/>
      </w:r>
      <w:r>
        <w:instrText xml:space="preserve"> REF EQ_cfn_reactive \h </w:instrText>
      </w:r>
      <w:r>
        <w:fldChar w:fldCharType="separate"/>
      </w:r>
      <w:r>
        <w:rPr>
          <w:noProof/>
        </w:rPr>
        <w:t>31</w:t>
      </w:r>
      <w:r>
        <w:fldChar w:fldCharType="end"/>
      </w:r>
      <w:r>
        <w:t>, setting f</w:t>
      </w:r>
      <w:r w:rsidRPr="00673D02">
        <w:rPr>
          <w:vertAlign w:val="subscript"/>
        </w:rPr>
        <w:t>fn</w:t>
      </w:r>
      <w:r>
        <w:t xml:space="preserve"> to one, and using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to calculate CL.</w:t>
      </w:r>
      <w:r w:rsidRPr="00FB0A41">
        <w:rPr>
          <w:i/>
        </w:rPr>
        <w:t xml:space="preserve"> </w:t>
      </w:r>
      <w:r w:rsidRPr="00173765">
        <w:rPr>
          <w:i/>
        </w:rPr>
        <w:sym w:font="Symbol" w:char="F061"/>
      </w:r>
      <w:r>
        <w:t xml:space="preserve"> corresponds to the ratio </w:t>
      </w:r>
      <m:oMath>
        <m:f>
          <m:fPr>
            <m:ctrlPr>
              <w:rPr>
                <w:rFonts w:ascii="Cambria Math" w:hAnsi="Cambria Math"/>
                <w:i/>
              </w:rPr>
            </m:ctrlPr>
          </m:fPr>
          <m:num>
            <m:sSub>
              <m:sSubPr>
                <m:ctrlPr>
                  <w:rPr>
                    <w:rFonts w:ascii="Cambria Math" w:hAnsi="Cambria Math"/>
                    <w:i/>
                    <w:noProof/>
                  </w:rPr>
                </m:ctrlPr>
              </m:sSubPr>
              <m:e>
                <m:r>
                  <w:rPr>
                    <w:rFonts w:ascii="Cambria Math" w:hAnsi="Cambria Math"/>
                  </w:rPr>
                  <m:t>τ</m:t>
                </m:r>
              </m:e>
              <m:sub>
                <m:r>
                  <w:rPr>
                    <w:rFonts w:ascii="Cambria Math" w:hAnsi="Cambria Math"/>
                  </w:rPr>
                  <m:t>n</m:t>
                </m:r>
              </m:sub>
            </m:sSub>
          </m:num>
          <m:den>
            <m:r>
              <w:rPr>
                <w:rFonts w:ascii="Cambria Math" w:hAnsi="Cambria Math"/>
              </w:rPr>
              <m:t>τ</m:t>
            </m:r>
          </m:den>
        </m:f>
      </m:oMath>
      <w:r>
        <w:t xml:space="preserve">. Where </w:t>
      </w:r>
      <m:oMath>
        <m:sSub>
          <m:sSubPr>
            <m:ctrlPr>
              <w:rPr>
                <w:rFonts w:ascii="Cambria Math" w:hAnsi="Cambria Math"/>
                <w:i/>
                <w:noProof/>
              </w:rPr>
            </m:ctrlPr>
          </m:sSubPr>
          <m:e>
            <m:r>
              <w:rPr>
                <w:rFonts w:ascii="Cambria Math" w:hAnsi="Cambria Math"/>
              </w:rPr>
              <m:t>τ</m:t>
            </m:r>
          </m:e>
          <m:sub>
            <m:r>
              <w:rPr>
                <w:rFonts w:ascii="Cambria Math" w:hAnsi="Cambria Math"/>
              </w:rPr>
              <m:t>n</m:t>
            </m:r>
          </m:sub>
        </m:sSub>
      </m:oMath>
      <w:r>
        <w:t xml:space="preserve"> is a fixed time step size used for the numeric solution. </w:t>
      </w:r>
      <w:r w:rsidRPr="00173765">
        <w:rPr>
          <w:i/>
        </w:rPr>
        <w:sym w:font="Symbol" w:char="F061"/>
      </w:r>
      <w:r>
        <w:rPr>
          <w:i/>
        </w:rPr>
        <w:t xml:space="preserve"> </w:t>
      </w:r>
      <w:r>
        <w:t xml:space="preserve">defines how many iteration steps from zero to the time </w:t>
      </w:r>
      <w:r w:rsidRPr="00220FB1">
        <w:rPr>
          <w:i/>
        </w:rPr>
        <w:sym w:font="Symbol" w:char="F074"/>
      </w:r>
      <w:r>
        <w:t xml:space="preserve"> of the analytic solution are calculated. Hence, </w:t>
      </w:r>
      <m:oMath>
        <m:r>
          <w:rPr>
            <w:rFonts w:ascii="Cambria Math" w:hAnsi="Cambria Math"/>
          </w:rPr>
          <m:t>α=0,02</m:t>
        </m:r>
      </m:oMath>
      <w:r>
        <w:t xml:space="preserve"> used for </w:t>
      </w:r>
      <w:r>
        <w:fldChar w:fldCharType="begin"/>
      </w:r>
      <w:r>
        <w:instrText xml:space="preserve"> REF _Ref191596270 \h </w:instrText>
      </w:r>
      <w:r>
        <w:fldChar w:fldCharType="separate"/>
      </w:r>
      <w:r w:rsidR="00D22235" w:rsidRPr="00445DD4">
        <w:t xml:space="preserve">Figure </w:t>
      </w:r>
      <w:r w:rsidR="00D22235">
        <w:rPr>
          <w:noProof/>
        </w:rPr>
        <w:t>27</w:t>
      </w:r>
      <w:r>
        <w:fldChar w:fldCharType="end"/>
      </w:r>
      <w:r>
        <w:t xml:space="preserve"> corresponds to 50 iteration steps per </w:t>
      </w:r>
      <w:r w:rsidRPr="00220FB1">
        <w:rPr>
          <w:i/>
        </w:rPr>
        <w:sym w:font="Symbol" w:char="F074"/>
      </w:r>
      <w:r>
        <w:t>.</w:t>
      </w:r>
      <w:r w:rsidRPr="00FB0A41">
        <w:t xml:space="preserve"> </w:t>
      </w:r>
      <w:r w:rsidRPr="00173765">
        <w:rPr>
          <w:i/>
        </w:rPr>
        <w:sym w:font="Symbol" w:char="F061"/>
      </w:r>
      <w:r>
        <w:rPr>
          <w:i/>
        </w:rPr>
        <w:t xml:space="preserve"> </w:t>
      </w:r>
      <w:r>
        <w:t>is needed to scale the numeric solution in the same way as the analytic solution. It is obvious that the step size of the numeric solution needs to be small to resemble the analytic solution. For a discrete</w:t>
      </w:r>
      <w:r w:rsidR="00183025">
        <w:t>-</w:t>
      </w:r>
      <w:r>
        <w:t>time</w:t>
      </w:r>
      <w:r w:rsidRPr="00FB0A41">
        <w:t xml:space="preserve"> </w:t>
      </w:r>
      <w:r>
        <w:t xml:space="preserve">congestion control </w:t>
      </w:r>
      <w:r w:rsidRPr="00173765">
        <w:rPr>
          <w:i/>
        </w:rPr>
        <w:sym w:font="Symbol" w:char="F061"/>
      </w:r>
      <w:r>
        <w:rPr>
          <w:i/>
        </w:rPr>
        <w:t xml:space="preserve"> </w:t>
      </w:r>
      <w:r>
        <w:t>together with f</w:t>
      </w:r>
      <w:r w:rsidRPr="00C4712B">
        <w:rPr>
          <w:vertAlign w:val="subscript"/>
        </w:rPr>
        <w:t>fn</w:t>
      </w:r>
      <w:r>
        <w:t xml:space="preserve"> is also essential to fulfil the stability criterium given in equation </w:t>
      </w:r>
      <w:r>
        <w:fldChar w:fldCharType="begin"/>
      </w:r>
      <w:r>
        <w:instrText xml:space="preserve"> REF EQ_stability_criteria \h </w:instrText>
      </w:r>
      <w:r>
        <w:fldChar w:fldCharType="separate"/>
      </w:r>
      <w:r>
        <w:rPr>
          <w:noProof/>
        </w:rPr>
        <w:t>22</w:t>
      </w:r>
      <w:r>
        <w:fldChar w:fldCharType="end"/>
      </w:r>
      <w:r>
        <w:t>.</w:t>
      </w:r>
    </w:p>
    <w:p w14:paraId="2D992AF3" w14:textId="3DE8A0EC" w:rsidR="009042C0" w:rsidRDefault="009042C0" w:rsidP="009042C0">
      <w:r>
        <w:t>For a</w:t>
      </w:r>
      <w:r w:rsidRPr="00FB0A41">
        <w:t xml:space="preserve"> </w:t>
      </w:r>
      <w:r>
        <w:t xml:space="preserve">control algorithm it is not essential to resemble the analytic solution of the control function, it should be stable and converge quickly to the equilibrium. </w:t>
      </w:r>
      <w:r w:rsidR="00D83CEF">
        <w:t>Therefore</w:t>
      </w:r>
      <w:r>
        <w:t>, in [</w:t>
      </w:r>
      <w:r w:rsidRPr="00436A20">
        <w:t>ETSI</w:t>
      </w:r>
      <w:r>
        <w:t> </w:t>
      </w:r>
      <w:r w:rsidRPr="00436A20">
        <w:t>TS</w:t>
      </w:r>
      <w:r>
        <w:t> </w:t>
      </w:r>
      <w:r w:rsidRPr="00436A20">
        <w:t>102</w:t>
      </w:r>
      <w:r>
        <w:t> </w:t>
      </w:r>
      <w:r w:rsidRPr="00436A20">
        <w:t>687</w:t>
      </w:r>
      <w:r>
        <w:t> </w:t>
      </w:r>
      <w:r w:rsidRPr="00436A20">
        <w:t>V1.2.1</w:t>
      </w:r>
      <w:r>
        <w:t xml:space="preserve">] a state machine approach was proposed that discretises the </w:t>
      </w:r>
      <w:r>
        <w:rPr>
          <w:i/>
          <w:iCs/>
        </w:rPr>
        <w:t>CL</w:t>
      </w:r>
      <w:r>
        <w:t xml:space="preserve"> and the </w:t>
      </w:r>
      <w:r w:rsidRPr="00673D02">
        <w:rPr>
          <w:i/>
          <w:iCs/>
        </w:rPr>
        <w:t>T</w:t>
      </w:r>
      <w:r w:rsidRPr="00673D02">
        <w:rPr>
          <w:i/>
          <w:iCs/>
          <w:vertAlign w:val="subscript"/>
        </w:rPr>
        <w:t>off</w:t>
      </w:r>
      <w:r>
        <w:t xml:space="preserve"> time into fife value pairs as shown in </w:t>
      </w:r>
      <w:r>
        <w:fldChar w:fldCharType="begin"/>
      </w:r>
      <w:r>
        <w:instrText xml:space="preserve"> REF _Ref191551665 \h </w:instrText>
      </w:r>
      <w:r>
        <w:fldChar w:fldCharType="separate"/>
      </w:r>
      <w:r w:rsidR="00D22235" w:rsidRPr="00445DD4">
        <w:t xml:space="preserve">Figure </w:t>
      </w:r>
      <w:r w:rsidR="00D22235">
        <w:rPr>
          <w:noProof/>
        </w:rPr>
        <w:t>21</w:t>
      </w:r>
      <w:r>
        <w:fldChar w:fldCharType="end"/>
      </w:r>
      <w:r>
        <w:t xml:space="preserve"> and </w:t>
      </w:r>
      <w:r>
        <w:fldChar w:fldCharType="begin"/>
      </w:r>
      <w:r>
        <w:instrText xml:space="preserve"> REF _Ref191551674 \h </w:instrText>
      </w:r>
      <w:r>
        <w:fldChar w:fldCharType="separate"/>
      </w:r>
      <w:r w:rsidR="00D22235" w:rsidRPr="00445DD4">
        <w:t xml:space="preserve">Figure </w:t>
      </w:r>
      <w:r w:rsidR="00D22235">
        <w:rPr>
          <w:noProof/>
        </w:rPr>
        <w:t>22</w:t>
      </w:r>
      <w:r>
        <w:fldChar w:fldCharType="end"/>
      </w:r>
      <w:r>
        <w:t xml:space="preserve">. To limit the </w:t>
      </w:r>
      <w:r w:rsidRPr="0099282A">
        <w:rPr>
          <w:i/>
          <w:iCs/>
        </w:rPr>
        <w:t>T</w:t>
      </w:r>
      <w:r w:rsidRPr="0099282A">
        <w:rPr>
          <w:i/>
          <w:iCs/>
          <w:vertAlign w:val="subscript"/>
        </w:rPr>
        <w:t>off</w:t>
      </w:r>
      <w:r>
        <w:t xml:space="preserve"> step size for each time step, the state machine will only transit from one state to the consecutive one. It is not allowed to step over a state, even when the measured </w:t>
      </w:r>
      <w:r w:rsidRPr="00673D02">
        <w:rPr>
          <w:i/>
          <w:iCs/>
        </w:rPr>
        <w:t>CL</w:t>
      </w:r>
      <w:r>
        <w:t xml:space="preserve"> is not in the range defined for the consecutive state. To determine the direction of the state transition, the </w:t>
      </w:r>
      <w:r w:rsidRPr="00673D02">
        <w:rPr>
          <w:i/>
        </w:rPr>
        <w:t>CL</w:t>
      </w:r>
      <w:r>
        <w:t xml:space="preserve"> range of the current state is compared with the measured </w:t>
      </w:r>
      <w:r w:rsidRPr="00673D02">
        <w:rPr>
          <w:i/>
        </w:rPr>
        <w:t>CL</w:t>
      </w:r>
      <w:r>
        <w:t xml:space="preserve">. If the measured </w:t>
      </w:r>
      <w:r w:rsidRPr="0099282A">
        <w:rPr>
          <w:i/>
        </w:rPr>
        <w:t>CL</w:t>
      </w:r>
      <w:r>
        <w:t xml:space="preserve"> is within the </w:t>
      </w:r>
      <w:r w:rsidRPr="00673D02">
        <w:rPr>
          <w:i/>
        </w:rPr>
        <w:t>CL</w:t>
      </w:r>
      <w:r>
        <w:t xml:space="preserve"> range of</w:t>
      </w:r>
      <w:r w:rsidRPr="0044201C">
        <w:t xml:space="preserve"> </w:t>
      </w:r>
      <w:r>
        <w:t xml:space="preserve">the current state, then the state and the </w:t>
      </w:r>
      <w:r w:rsidRPr="0099282A">
        <w:rPr>
          <w:i/>
          <w:iCs/>
        </w:rPr>
        <w:t>T</w:t>
      </w:r>
      <w:r w:rsidRPr="0099282A">
        <w:rPr>
          <w:i/>
          <w:iCs/>
          <w:vertAlign w:val="subscript"/>
        </w:rPr>
        <w:t>off</w:t>
      </w:r>
      <w:r>
        <w:t xml:space="preserve"> time are not changed. Otherwise, depending on whether the measured </w:t>
      </w:r>
      <w:r w:rsidRPr="00673D02">
        <w:rPr>
          <w:i/>
        </w:rPr>
        <w:t>CL</w:t>
      </w:r>
      <w:r>
        <w:t xml:space="preserve"> exceeds or is below the </w:t>
      </w:r>
      <w:r w:rsidRPr="0099282A">
        <w:rPr>
          <w:i/>
        </w:rPr>
        <w:t>CL</w:t>
      </w:r>
      <w:r>
        <w:t xml:space="preserve"> range of</w:t>
      </w:r>
      <w:r w:rsidRPr="0044201C">
        <w:t xml:space="preserve"> </w:t>
      </w:r>
      <w:r>
        <w:t xml:space="preserve">the current state, the state transits to the next or the previous state with a longer or shorter </w:t>
      </w:r>
      <w:r w:rsidRPr="0099282A">
        <w:rPr>
          <w:i/>
          <w:iCs/>
        </w:rPr>
        <w:t>T</w:t>
      </w:r>
      <w:r w:rsidRPr="0099282A">
        <w:rPr>
          <w:i/>
          <w:iCs/>
          <w:vertAlign w:val="subscript"/>
        </w:rPr>
        <w:t>off</w:t>
      </w:r>
      <w:r>
        <w:t xml:space="preserve"> time.</w:t>
      </w:r>
    </w:p>
    <w:p w14:paraId="68117302" w14:textId="5DB332C8" w:rsidR="009042C0" w:rsidRDefault="009042C0" w:rsidP="009042C0">
      <w:r>
        <w:fldChar w:fldCharType="begin"/>
      </w:r>
      <w:r>
        <w:instrText xml:space="preserve"> REF _Ref192091498 \h </w:instrText>
      </w:r>
      <w:r>
        <w:fldChar w:fldCharType="separate"/>
      </w:r>
      <w:r w:rsidR="00D22235" w:rsidRPr="00445DD4">
        <w:t xml:space="preserve">Figure </w:t>
      </w:r>
      <w:r w:rsidR="00D22235">
        <w:rPr>
          <w:noProof/>
        </w:rPr>
        <w:t>28</w:t>
      </w:r>
      <w:r>
        <w:fldChar w:fldCharType="end"/>
      </w:r>
      <w:r>
        <w:t xml:space="preserve"> shows as solid-coloured lines the </w:t>
      </w:r>
      <w:r w:rsidRPr="0099282A">
        <w:rPr>
          <w:i/>
        </w:rPr>
        <w:t>CL</w:t>
      </w:r>
      <w:r>
        <w:t xml:space="preserve"> that results from the </w:t>
      </w:r>
      <w:r w:rsidRPr="0099282A">
        <w:rPr>
          <w:i/>
          <w:iCs/>
        </w:rPr>
        <w:t>T</w:t>
      </w:r>
      <w:r w:rsidRPr="0099282A">
        <w:rPr>
          <w:i/>
          <w:iCs/>
          <w:vertAlign w:val="subscript"/>
        </w:rPr>
        <w:t>off</w:t>
      </w:r>
      <w:r>
        <w:t xml:space="preserve"> values given in table A.1 of [</w:t>
      </w:r>
      <w:r w:rsidRPr="00436A20">
        <w:t>ETSI</w:t>
      </w:r>
      <w:r>
        <w:t> </w:t>
      </w:r>
      <w:r w:rsidRPr="00436A20">
        <w:t>TS</w:t>
      </w:r>
      <w:r>
        <w:t> </w:t>
      </w:r>
      <w:r w:rsidRPr="00436A20">
        <w:t>102</w:t>
      </w:r>
      <w:r>
        <w:t> </w:t>
      </w:r>
      <w:r w:rsidRPr="00436A20">
        <w:t>687</w:t>
      </w:r>
      <w:r>
        <w:t> </w:t>
      </w:r>
      <w:r w:rsidRPr="00436A20">
        <w:t>V1.2.1</w:t>
      </w:r>
      <w:r>
        <w:t xml:space="preserve">] for </w:t>
      </w:r>
      <w:r w:rsidRPr="00673D02">
        <w:rPr>
          <w:i/>
        </w:rPr>
        <w:t>T</w:t>
      </w:r>
      <w:r w:rsidRPr="00673D02">
        <w:rPr>
          <w:i/>
          <w:vertAlign w:val="subscript"/>
        </w:rPr>
        <w:t>on</w:t>
      </w:r>
      <w:r w:rsidRPr="00673D02">
        <w:rPr>
          <w:i/>
        </w:rPr>
        <w:t> </w:t>
      </w:r>
      <w:r>
        <w:t>= 1 ms. These are straight</w:t>
      </w:r>
      <w:r w:rsidRPr="00AE72E5">
        <w:t xml:space="preserve"> </w:t>
      </w:r>
      <w:r>
        <w:t xml:space="preserve">lines, what follows from </w:t>
      </w:r>
      <w:r w:rsidRPr="00C53B80">
        <w:t>equation </w:t>
      </w:r>
      <w:r>
        <w:fldChar w:fldCharType="begin"/>
      </w:r>
      <w:r>
        <w:instrText xml:space="preserve"> REF EQ_CL_Ton_Toff \h </w:instrText>
      </w:r>
      <w:r>
        <w:fldChar w:fldCharType="separate"/>
      </w:r>
      <w:r>
        <w:rPr>
          <w:noProof/>
        </w:rPr>
        <w:t>24</w:t>
      </w:r>
      <w:r>
        <w:fldChar w:fldCharType="end"/>
      </w:r>
      <w:r>
        <w:t>. Each line corresponds to one of the states (</w:t>
      </w:r>
      <w:r>
        <w:sym w:font="Wingdings" w:char="F081"/>
      </w:r>
      <w:r>
        <w:t xml:space="preserve"> to </w:t>
      </w:r>
      <w:r>
        <w:sym w:font="Wingdings" w:char="F085"/>
      </w:r>
      <w:r>
        <w:t xml:space="preserve">) of the state machine. The dashed horizontal lines are the </w:t>
      </w:r>
      <w:r w:rsidRPr="0099282A">
        <w:rPr>
          <w:i/>
        </w:rPr>
        <w:t>CL</w:t>
      </w:r>
      <w:r>
        <w:t xml:space="preserve"> limits for a state transition that correspond to the state with the same colour. The red circles show where in the diagram the table entries for </w:t>
      </w:r>
      <w:r w:rsidRPr="0099282A">
        <w:rPr>
          <w:i/>
        </w:rPr>
        <w:t>T</w:t>
      </w:r>
      <w:r w:rsidRPr="0099282A">
        <w:rPr>
          <w:i/>
          <w:vertAlign w:val="subscript"/>
        </w:rPr>
        <w:t>on</w:t>
      </w:r>
      <w:r w:rsidRPr="0099282A">
        <w:rPr>
          <w:i/>
        </w:rPr>
        <w:t> </w:t>
      </w:r>
      <w:r>
        <w:t xml:space="preserve">= 1 ms are located. For comparison, the control equilibrium </w:t>
      </w:r>
      <m:oMath>
        <m:acc>
          <m:accPr>
            <m:chr m:val="̃"/>
            <m:ctrlPr>
              <w:rPr>
                <w:rFonts w:ascii="Cambria Math" w:hAnsi="Cambria Math"/>
                <w:i/>
              </w:rPr>
            </m:ctrlPr>
          </m:accPr>
          <m:e>
            <m:r>
              <w:rPr>
                <w:rFonts w:ascii="Cambria Math" w:hAnsi="Cambria Math"/>
              </w:rPr>
              <m:t>CL</m:t>
            </m:r>
          </m:e>
        </m:acc>
      </m:oMath>
      <w:r>
        <w:t xml:space="preserve"> for continuous </w:t>
      </w:r>
      <w:r w:rsidRPr="0099282A">
        <w:rPr>
          <w:i/>
        </w:rPr>
        <w:t>CL</w:t>
      </w:r>
      <w:r>
        <w:t xml:space="preserve"> values according to equation </w:t>
      </w:r>
      <w:r>
        <w:fldChar w:fldCharType="begin"/>
      </w:r>
      <w:r>
        <w:instrText xml:space="preserve"> REF EQ_CL12_reactive \h </w:instrText>
      </w:r>
      <w:r>
        <w:fldChar w:fldCharType="separate"/>
      </w:r>
      <w:r>
        <w:rPr>
          <w:noProof/>
        </w:rPr>
        <w:t>29</w:t>
      </w:r>
      <w:r>
        <w:fldChar w:fldCharType="end"/>
      </w:r>
      <w:r>
        <w:t xml:space="preserve"> with </w:t>
      </w:r>
      <w:r w:rsidRPr="001571C1">
        <w:rPr>
          <w:i/>
        </w:rPr>
        <w:t>T</w:t>
      </w:r>
      <w:r w:rsidRPr="001571C1">
        <w:rPr>
          <w:i/>
          <w:vertAlign w:val="subscript"/>
        </w:rPr>
        <w:t>a</w:t>
      </w:r>
      <w:r>
        <w:t xml:space="preserve"> and </w:t>
      </w:r>
      <w:r w:rsidRPr="001571C1">
        <w:rPr>
          <w:i/>
        </w:rPr>
        <w:t>T</w:t>
      </w:r>
      <w:r>
        <w:rPr>
          <w:i/>
          <w:vertAlign w:val="subscript"/>
        </w:rPr>
        <w:t>b</w:t>
      </w:r>
      <w:r>
        <w:t xml:space="preserve"> from </w:t>
      </w:r>
      <w:r>
        <w:fldChar w:fldCharType="begin"/>
      </w:r>
      <w:r>
        <w:instrText xml:space="preserve"> REF _Ref191556164 \h </w:instrText>
      </w:r>
      <w:r>
        <w:fldChar w:fldCharType="separate"/>
      </w:r>
      <w:r>
        <w:t>Table </w:t>
      </w:r>
      <w:r>
        <w:rPr>
          <w:noProof/>
        </w:rPr>
        <w:t>1</w:t>
      </w:r>
      <w:r>
        <w:fldChar w:fldCharType="end"/>
      </w:r>
      <w:r>
        <w:t xml:space="preserve"> is shown as black line.</w:t>
      </w:r>
    </w:p>
    <w:p w14:paraId="0075FF8D" w14:textId="77777777" w:rsidR="009042C0" w:rsidRDefault="009042C0" w:rsidP="009042C0">
      <w:pPr>
        <w:pStyle w:val="NO"/>
      </w:pPr>
      <w:r>
        <w:t>NOTE:</w:t>
      </w:r>
      <w:r>
        <w:tab/>
        <w:t xml:space="preserve">For other values of </w:t>
      </w:r>
      <w:r w:rsidRPr="0099282A">
        <w:rPr>
          <w:i/>
        </w:rPr>
        <w:t>T</w:t>
      </w:r>
      <w:r w:rsidRPr="0099282A">
        <w:rPr>
          <w:i/>
          <w:vertAlign w:val="subscript"/>
        </w:rPr>
        <w:t>on</w:t>
      </w:r>
      <w:r>
        <w:t xml:space="preserve"> the number of nodes where the state transition limit is reached would be different, as follows from </w:t>
      </w:r>
      <w:r w:rsidRPr="00C53B80">
        <w:t>equation </w:t>
      </w:r>
      <w:r>
        <w:fldChar w:fldCharType="begin"/>
      </w:r>
      <w:r>
        <w:instrText xml:space="preserve"> REF EQ_CL_Ton_Toff \h </w:instrText>
      </w:r>
      <w:r>
        <w:fldChar w:fldCharType="separate"/>
      </w:r>
      <w:r>
        <w:rPr>
          <w:noProof/>
        </w:rPr>
        <w:t>24</w:t>
      </w:r>
      <w:r>
        <w:fldChar w:fldCharType="end"/>
      </w:r>
      <w:r>
        <w:t>.</w:t>
      </w:r>
    </w:p>
    <w:p w14:paraId="49D9864F" w14:textId="77777777" w:rsidR="009042C0" w:rsidRDefault="009042C0" w:rsidP="009042C0">
      <w:pPr>
        <w:pStyle w:val="FL"/>
      </w:pPr>
      <w:r w:rsidRPr="000934E9">
        <w:rPr>
          <w:noProof/>
          <w:lang w:val="it-IT" w:eastAsia="it-IT"/>
        </w:rPr>
        <w:drawing>
          <wp:inline distT="0" distB="0" distL="0" distR="0" wp14:anchorId="57F7B6A9" wp14:editId="552745B0">
            <wp:extent cx="5120708" cy="2700000"/>
            <wp:effectExtent l="0" t="0" r="3810" b="5715"/>
            <wp:docPr id="60606471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784" t="11445" r="1032" b="2399"/>
                    <a:stretch/>
                  </pic:blipFill>
                  <pic:spPr bwMode="auto">
                    <a:xfrm>
                      <a:off x="0" y="0"/>
                      <a:ext cx="5126400" cy="2703001"/>
                    </a:xfrm>
                    <a:prstGeom prst="rect">
                      <a:avLst/>
                    </a:prstGeom>
                    <a:noFill/>
                    <a:ln>
                      <a:noFill/>
                    </a:ln>
                    <a:extLst>
                      <a:ext uri="{53640926-AAD7-44D8-BBD7-CCE9431645EC}">
                        <a14:shadowObscured xmlns:a14="http://schemas.microsoft.com/office/drawing/2010/main"/>
                      </a:ext>
                    </a:extLst>
                  </pic:spPr>
                </pic:pic>
              </a:graphicData>
            </a:graphic>
          </wp:inline>
        </w:drawing>
      </w:r>
    </w:p>
    <w:p w14:paraId="3902667C" w14:textId="3EAFF933" w:rsidR="009042C0" w:rsidRPr="00FC46D4" w:rsidRDefault="009042C0" w:rsidP="009042C0">
      <w:pPr>
        <w:pStyle w:val="TF"/>
      </w:pPr>
      <w:bookmarkStart w:id="351" w:name="_Ref192091498"/>
      <w:r w:rsidRPr="00445DD4">
        <w:t xml:space="preserve">Figure </w:t>
      </w:r>
      <w:r w:rsidR="00115785">
        <w:fldChar w:fldCharType="begin"/>
      </w:r>
      <w:r w:rsidR="00115785">
        <w:instrText xml:space="preserve"> SEQ Figure \* ARABIC </w:instrText>
      </w:r>
      <w:r w:rsidR="00115785">
        <w:fldChar w:fldCharType="separate"/>
      </w:r>
      <w:r w:rsidR="00115785">
        <w:rPr>
          <w:noProof/>
        </w:rPr>
        <w:t>28</w:t>
      </w:r>
      <w:r w:rsidR="00115785">
        <w:rPr>
          <w:noProof/>
        </w:rPr>
        <w:fldChar w:fldCharType="end"/>
      </w:r>
      <w:bookmarkEnd w:id="351"/>
      <w:r w:rsidRPr="00445DD4">
        <w:tab/>
      </w:r>
      <w:r w:rsidRPr="00FC46D4">
        <w:rPr>
          <w:i/>
          <w:iCs/>
        </w:rPr>
        <w:t>CL</w:t>
      </w:r>
      <w:r w:rsidRPr="00FC46D4">
        <w:t xml:space="preserve"> resulting </w:t>
      </w:r>
      <w:r>
        <w:t>for</w:t>
      </w:r>
      <w:r w:rsidRPr="00FC46D4">
        <w:t xml:space="preserve"> the </w:t>
      </w:r>
      <w:bookmarkStart w:id="352" w:name="_Hlk192091602"/>
      <w:r w:rsidRPr="00FC46D4">
        <w:rPr>
          <w:i/>
          <w:iCs/>
        </w:rPr>
        <w:t>T</w:t>
      </w:r>
      <w:r w:rsidRPr="00FC46D4">
        <w:rPr>
          <w:i/>
          <w:iCs/>
          <w:vertAlign w:val="subscript"/>
        </w:rPr>
        <w:t>off</w:t>
      </w:r>
      <w:bookmarkEnd w:id="352"/>
      <w:r w:rsidRPr="00FC46D4">
        <w:t xml:space="preserve"> </w:t>
      </w:r>
      <w:r>
        <w:t xml:space="preserve">values taken from the </w:t>
      </w:r>
      <w:r w:rsidRPr="00FC46D4">
        <w:t xml:space="preserve">reactive DCC </w:t>
      </w:r>
      <w:r>
        <w:t>table A.1 in [</w:t>
      </w:r>
      <w:r w:rsidRPr="00436A20">
        <w:t>ETSI</w:t>
      </w:r>
      <w:r>
        <w:t> </w:t>
      </w:r>
      <w:r w:rsidRPr="00436A20">
        <w:t>TS</w:t>
      </w:r>
      <w:r>
        <w:t> </w:t>
      </w:r>
      <w:r w:rsidRPr="00436A20">
        <w:t>102</w:t>
      </w:r>
      <w:r>
        <w:t> </w:t>
      </w:r>
      <w:r w:rsidRPr="00436A20">
        <w:t>687</w:t>
      </w:r>
      <w:r>
        <w:t> </w:t>
      </w:r>
      <w:r w:rsidRPr="00436A20">
        <w:t>V1.2.1</w:t>
      </w:r>
      <w:r>
        <w:t xml:space="preserve">] </w:t>
      </w:r>
      <w:r w:rsidRPr="00FC46D4">
        <w:t xml:space="preserve">for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p>
    <w:p w14:paraId="2C226390" w14:textId="65125C66" w:rsidR="009042C0" w:rsidRDefault="009042C0" w:rsidP="009042C0">
      <w:r>
        <w:fldChar w:fldCharType="begin"/>
      </w:r>
      <w:r>
        <w:instrText xml:space="preserve"> REF _Ref192233147 \h </w:instrText>
      </w:r>
      <w:r>
        <w:fldChar w:fldCharType="separate"/>
      </w:r>
      <w:r w:rsidR="00D22235" w:rsidRPr="00445DD4">
        <w:t xml:space="preserve">Figure </w:t>
      </w:r>
      <w:r w:rsidR="00D22235">
        <w:rPr>
          <w:noProof/>
        </w:rPr>
        <w:t>29</w:t>
      </w:r>
      <w:r>
        <w:fldChar w:fldCharType="end"/>
      </w:r>
      <w:r>
        <w:t xml:space="preserve"> takes a closer look on the control equilibrium of the table based DCC proposed in [</w:t>
      </w:r>
      <w:r w:rsidRPr="00436A20">
        <w:t>ETSI</w:t>
      </w:r>
      <w:r>
        <w:t> </w:t>
      </w:r>
      <w:r w:rsidRPr="00436A20">
        <w:t>TS</w:t>
      </w:r>
      <w:r>
        <w:t> </w:t>
      </w:r>
      <w:r w:rsidRPr="00436A20">
        <w:t>102</w:t>
      </w:r>
      <w:r>
        <w:t> </w:t>
      </w:r>
      <w:r w:rsidRPr="00436A20">
        <w:t>687</w:t>
      </w:r>
      <w:r>
        <w:t> </w:t>
      </w:r>
      <w:r w:rsidRPr="00436A20">
        <w:t>V1.2.1</w:t>
      </w:r>
      <w:r>
        <w:t>]. The equilibrium is shown as bold black line. It can only be reached as average over time when the nodes are not synchronised and when only state transitions to the consecutive states are allowed.</w:t>
      </w:r>
    </w:p>
    <w:p w14:paraId="3E524DD9" w14:textId="77777777" w:rsidR="009042C0" w:rsidRDefault="009042C0" w:rsidP="009042C0">
      <w:r>
        <w:t xml:space="preserve">The shaded areas (blue, orange, grey) are regions where not all nodes are in the same state so that in average the </w:t>
      </w:r>
      <w:r w:rsidRPr="0004592C">
        <w:rPr>
          <w:i/>
        </w:rPr>
        <w:t>CL</w:t>
      </w:r>
      <w:r>
        <w:t xml:space="preserve"> results to the respective state transition limit. Hence, in such a region the ratio between the number of nodes in one state and the number of nodes in another state depends on the total number of nodes </w:t>
      </w:r>
      <w:r>
        <w:rPr>
          <w:i/>
        </w:rPr>
        <w:t>N</w:t>
      </w:r>
      <w:r>
        <w:t>.</w:t>
      </w:r>
    </w:p>
    <w:p w14:paraId="7681630F" w14:textId="30566704" w:rsidR="009042C0" w:rsidRPr="00A0783F" w:rsidRDefault="009042C0" w:rsidP="009042C0">
      <w:pPr>
        <w:pStyle w:val="EX"/>
      </w:pPr>
      <w:r>
        <w:t>EXAMPLE:</w:t>
      </w:r>
      <w:r>
        <w:tab/>
        <w:t xml:space="preserve">For node numbers below the blue shaded area in </w:t>
      </w:r>
      <w:r>
        <w:fldChar w:fldCharType="begin"/>
      </w:r>
      <w:r>
        <w:instrText xml:space="preserve"> REF _Ref192233147 \h </w:instrText>
      </w:r>
      <w:r>
        <w:fldChar w:fldCharType="separate"/>
      </w:r>
      <w:r w:rsidR="00D22235" w:rsidRPr="00445DD4">
        <w:t xml:space="preserve">Figure </w:t>
      </w:r>
      <w:r w:rsidR="00D22235">
        <w:rPr>
          <w:noProof/>
        </w:rPr>
        <w:t>29</w:t>
      </w:r>
      <w:r>
        <w:fldChar w:fldCharType="end"/>
      </w:r>
      <w:r>
        <w:t xml:space="preserve"> all nodes will be in state </w:t>
      </w:r>
      <w:r>
        <w:sym w:font="Wingdings" w:char="F081"/>
      </w:r>
      <w:r>
        <w:t xml:space="preserve">. For a number of nodes within the blue shaded area the limit of </w:t>
      </w:r>
      <w:r w:rsidRPr="00A0783F">
        <w:rPr>
          <w:i/>
        </w:rPr>
        <w:t>CL</w:t>
      </w:r>
      <w:r>
        <w:t xml:space="preserve"> = 0,3 would be exceeded when all nodes are in state </w:t>
      </w:r>
      <w:r>
        <w:sym w:font="Wingdings" w:char="F081"/>
      </w:r>
      <w:r>
        <w:t xml:space="preserve">. Since the nodes are assumed to be not synchronised, they measure the </w:t>
      </w:r>
      <w:r w:rsidRPr="00A0783F">
        <w:rPr>
          <w:i/>
          <w:iCs/>
        </w:rPr>
        <w:t>CL</w:t>
      </w:r>
      <w:r>
        <w:t xml:space="preserve"> at random times within a 100 ms interval. Assuming that equilibrium is reached, all nodes measuring a </w:t>
      </w:r>
      <w:r>
        <w:rPr>
          <w:i/>
        </w:rPr>
        <w:t>CL</w:t>
      </w:r>
      <w:r>
        <w:t xml:space="preserve"> of more or equal 0,3 will apply state </w:t>
      </w:r>
      <w:r>
        <w:sym w:font="Wingdings" w:char="F082"/>
      </w:r>
      <w:r>
        <w:t xml:space="preserve"> all others will apply state </w:t>
      </w:r>
      <w:r>
        <w:sym w:font="Wingdings" w:char="F081"/>
      </w:r>
      <w:r>
        <w:t xml:space="preserve">. Since the nodes are not synchronised and are measuring the </w:t>
      </w:r>
      <w:r w:rsidRPr="00A0783F">
        <w:rPr>
          <w:i/>
          <w:iCs/>
        </w:rPr>
        <w:t>CL</w:t>
      </w:r>
      <w:r>
        <w:t xml:space="preserve"> not at the same time, they will do the measurements one after the other with a random time difference. This allows them to get different measurements results and hence to transit to different states, so that in average in this example within the blue shaded area the </w:t>
      </w:r>
      <w:r w:rsidRPr="00A0783F">
        <w:rPr>
          <w:i/>
          <w:iCs/>
        </w:rPr>
        <w:t>CL</w:t>
      </w:r>
      <w:r>
        <w:t xml:space="preserve"> will converge to the state transition limit of </w:t>
      </w:r>
      <w:r w:rsidRPr="00A0783F">
        <w:rPr>
          <w:i/>
        </w:rPr>
        <w:t>CL</w:t>
      </w:r>
      <w:r>
        <w:t> = 0,3.</w:t>
      </w:r>
    </w:p>
    <w:p w14:paraId="5CC21F7F" w14:textId="77777777" w:rsidR="009042C0" w:rsidRDefault="009042C0" w:rsidP="009042C0">
      <w:pPr>
        <w:pStyle w:val="FL"/>
      </w:pPr>
      <w:r w:rsidRPr="0004592C">
        <w:rPr>
          <w:noProof/>
          <w:lang w:val="it-IT" w:eastAsia="it-IT"/>
        </w:rPr>
        <w:drawing>
          <wp:inline distT="0" distB="0" distL="0" distR="0" wp14:anchorId="5EA9580A" wp14:editId="21A34F14">
            <wp:extent cx="5080712" cy="2700000"/>
            <wp:effectExtent l="0" t="0" r="5715" b="5715"/>
            <wp:docPr id="9315482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784" t="11440" r="1799" b="2387"/>
                    <a:stretch/>
                  </pic:blipFill>
                  <pic:spPr bwMode="auto">
                    <a:xfrm>
                      <a:off x="0" y="0"/>
                      <a:ext cx="5086800" cy="2703235"/>
                    </a:xfrm>
                    <a:prstGeom prst="rect">
                      <a:avLst/>
                    </a:prstGeom>
                    <a:noFill/>
                    <a:ln>
                      <a:noFill/>
                    </a:ln>
                    <a:extLst>
                      <a:ext uri="{53640926-AAD7-44D8-BBD7-CCE9431645EC}">
                        <a14:shadowObscured xmlns:a14="http://schemas.microsoft.com/office/drawing/2010/main"/>
                      </a:ext>
                    </a:extLst>
                  </pic:spPr>
                </pic:pic>
              </a:graphicData>
            </a:graphic>
          </wp:inline>
        </w:drawing>
      </w:r>
    </w:p>
    <w:p w14:paraId="1E3F3E4E" w14:textId="7DBAE495" w:rsidR="009042C0" w:rsidRPr="00FC46D4" w:rsidRDefault="009042C0" w:rsidP="009042C0">
      <w:pPr>
        <w:pStyle w:val="TF"/>
      </w:pPr>
      <w:bookmarkStart w:id="353" w:name="_Ref192233147"/>
      <w:r w:rsidRPr="00445DD4">
        <w:t xml:space="preserve">Figure </w:t>
      </w:r>
      <w:r w:rsidR="00115785">
        <w:fldChar w:fldCharType="begin"/>
      </w:r>
      <w:r w:rsidR="00115785">
        <w:instrText xml:space="preserve"> SEQ Figure \* ARABIC </w:instrText>
      </w:r>
      <w:r w:rsidR="00115785">
        <w:fldChar w:fldCharType="separate"/>
      </w:r>
      <w:r w:rsidR="00115785">
        <w:rPr>
          <w:noProof/>
        </w:rPr>
        <w:t>29</w:t>
      </w:r>
      <w:r w:rsidR="00115785">
        <w:rPr>
          <w:noProof/>
        </w:rPr>
        <w:fldChar w:fldCharType="end"/>
      </w:r>
      <w:bookmarkEnd w:id="353"/>
      <w:r w:rsidRPr="00445DD4">
        <w:tab/>
      </w:r>
      <w:r w:rsidRPr="00FC46D4">
        <w:rPr>
          <w:i/>
          <w:iCs/>
        </w:rPr>
        <w:t>CL</w:t>
      </w:r>
      <w:r w:rsidRPr="00FC46D4">
        <w:t xml:space="preserve"> resulting from the </w:t>
      </w:r>
      <w:r w:rsidRPr="00FC46D4">
        <w:rPr>
          <w:i/>
          <w:iCs/>
        </w:rPr>
        <w:t>T</w:t>
      </w:r>
      <w:r w:rsidRPr="00FC46D4">
        <w:rPr>
          <w:i/>
          <w:iCs/>
          <w:vertAlign w:val="subscript"/>
        </w:rPr>
        <w:t>off</w:t>
      </w:r>
      <w:r w:rsidRPr="00FC46D4">
        <w:t xml:space="preserve"> </w:t>
      </w:r>
      <w:r>
        <w:t xml:space="preserve">values taken from the </w:t>
      </w:r>
      <w:r w:rsidRPr="00FC46D4">
        <w:t xml:space="preserve">reactive DCC </w:t>
      </w:r>
      <w:r>
        <w:t>table A.1 in [</w:t>
      </w:r>
      <w:r w:rsidRPr="00436A20">
        <w:t>ETSI</w:t>
      </w:r>
      <w:r>
        <w:t> </w:t>
      </w:r>
      <w:r w:rsidRPr="00436A20">
        <w:t>TS</w:t>
      </w:r>
      <w:r>
        <w:t> </w:t>
      </w:r>
      <w:r w:rsidRPr="00436A20">
        <w:t>102</w:t>
      </w:r>
      <w:r>
        <w:t> </w:t>
      </w:r>
      <w:r w:rsidRPr="00436A20">
        <w:t>687</w:t>
      </w:r>
      <w:r>
        <w:t> </w:t>
      </w:r>
      <w:r w:rsidRPr="00436A20">
        <w:t>V1.2.1</w:t>
      </w:r>
      <w:r>
        <w:t xml:space="preserve">] </w:t>
      </w:r>
      <w:r w:rsidRPr="00FC46D4">
        <w:t xml:space="preserve">for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r>
        <w:t xml:space="preserve"> and the bounded stability regions up to </w:t>
      </w:r>
      <w:r w:rsidRPr="00673D02">
        <w:rPr>
          <w:i/>
        </w:rPr>
        <w:t>N</w:t>
      </w:r>
      <w:r>
        <w:t> = 300</w:t>
      </w:r>
    </w:p>
    <w:p w14:paraId="7B45F0C7" w14:textId="18FAA1ED" w:rsidR="009042C0" w:rsidRDefault="009042C0" w:rsidP="009042C0">
      <w:r>
        <w:t xml:space="preserve">From </w:t>
      </w:r>
      <w:r>
        <w:fldChar w:fldCharType="begin"/>
      </w:r>
      <w:r>
        <w:instrText xml:space="preserve"> REF _Ref192233147 \h </w:instrText>
      </w:r>
      <w:r>
        <w:fldChar w:fldCharType="separate"/>
      </w:r>
      <w:r w:rsidR="00D22235" w:rsidRPr="00445DD4">
        <w:t xml:space="preserve">Figure </w:t>
      </w:r>
      <w:r w:rsidR="00D22235">
        <w:rPr>
          <w:noProof/>
        </w:rPr>
        <w:t>29</w:t>
      </w:r>
      <w:r>
        <w:fldChar w:fldCharType="end"/>
      </w:r>
      <w:r>
        <w:t xml:space="preserve"> it also gets clear why the nodes should not be synchronised and only transitions between consecutive states are allowed. For the orange shaded area in </w:t>
      </w:r>
      <w:r>
        <w:fldChar w:fldCharType="begin"/>
      </w:r>
      <w:r>
        <w:instrText xml:space="preserve"> REF _Ref192233147 \h </w:instrText>
      </w:r>
      <w:r>
        <w:fldChar w:fldCharType="separate"/>
      </w:r>
      <w:r w:rsidR="00D83CEF" w:rsidRPr="00445DD4">
        <w:t xml:space="preserve">Figure </w:t>
      </w:r>
      <w:r w:rsidR="00D83CEF">
        <w:rPr>
          <w:noProof/>
        </w:rPr>
        <w:t>29</w:t>
      </w:r>
      <w:r>
        <w:fldChar w:fldCharType="end"/>
      </w:r>
      <w:r>
        <w:t xml:space="preserve"> it can be seen that when all nodes are synchronised and in state </w:t>
      </w:r>
      <w:r>
        <w:sym w:font="Wingdings" w:char="F083"/>
      </w:r>
      <w:r>
        <w:t xml:space="preserve"> the </w:t>
      </w:r>
      <w:r>
        <w:rPr>
          <w:i/>
        </w:rPr>
        <w:t>CL</w:t>
      </w:r>
      <w:r>
        <w:t xml:space="preserve"> will be below the limit of 0,4 and all nodes would synchronously transit to state </w:t>
      </w:r>
      <w:r>
        <w:sym w:font="Wingdings" w:char="F082"/>
      </w:r>
      <w:r>
        <w:t xml:space="preserve">. As a result, the </w:t>
      </w:r>
      <w:r w:rsidRPr="00332BC1">
        <w:rPr>
          <w:i/>
        </w:rPr>
        <w:t>CL</w:t>
      </w:r>
      <w:r>
        <w:t xml:space="preserve"> will jump to a much higher value in the next measurement period and all nodes will transit back to state </w:t>
      </w:r>
      <w:r>
        <w:sym w:font="Wingdings" w:char="F083"/>
      </w:r>
      <w:r>
        <w:t xml:space="preserve">. This results in a strong </w:t>
      </w:r>
      <w:r>
        <w:rPr>
          <w:i/>
        </w:rPr>
        <w:t>CL</w:t>
      </w:r>
      <w:r>
        <w:t xml:space="preserve"> oscillation that can even overload the channel. For the same scenario it can be seen that when all nodes are synchronised and in state </w:t>
      </w:r>
      <w:r>
        <w:sym w:font="Wingdings" w:char="F083"/>
      </w:r>
      <w:r>
        <w:t xml:space="preserve"> the </w:t>
      </w:r>
      <w:r>
        <w:rPr>
          <w:i/>
        </w:rPr>
        <w:t>CL</w:t>
      </w:r>
      <w:r>
        <w:t xml:space="preserve"> can be below 0,3. When it would be allowed to transit directly to state </w:t>
      </w:r>
      <w:r>
        <w:sym w:font="Wingdings" w:char="F081"/>
      </w:r>
      <w:r>
        <w:t xml:space="preserve"> the channel would be heavily overloaded, and the controller gets immediately instable. For not synchronised nodes this issue is not so obvious, but it still exists and can lead to serious oscillations and channel overload.</w:t>
      </w:r>
    </w:p>
    <w:p w14:paraId="4532F635" w14:textId="77777777" w:rsidR="009042C0" w:rsidRDefault="009042C0" w:rsidP="009042C0">
      <w:pPr>
        <w:pStyle w:val="Heading4"/>
      </w:pPr>
      <w:bookmarkStart w:id="354" w:name="_Toc197337083"/>
      <w:r>
        <w:t>C.1.3.2</w:t>
      </w:r>
      <w:r>
        <w:tab/>
        <w:t>Stability of the reactive congestion control with filtering according to [C2C</w:t>
      </w:r>
      <w:r>
        <w:noBreakHyphen/>
        <w:t>CC: “</w:t>
      </w:r>
      <w:r w:rsidRPr="00436A20">
        <w:t>Vehicle C-ITS station profile</w:t>
      </w:r>
      <w:r>
        <w:t xml:space="preserve"> #</w:t>
      </w:r>
      <w:r w:rsidRPr="00436A20">
        <w:t>2037</w:t>
      </w:r>
      <w:r>
        <w:t xml:space="preserve">”, </w:t>
      </w:r>
      <w:r w:rsidRPr="00436A20">
        <w:t>RS_BSP_240</w:t>
      </w:r>
      <w:r>
        <w:t>]</w:t>
      </w:r>
      <w:bookmarkEnd w:id="354"/>
    </w:p>
    <w:p w14:paraId="4F1C2918" w14:textId="77777777" w:rsidR="009042C0" w:rsidRDefault="009042C0" w:rsidP="009042C0">
      <w:r>
        <w:t>In [C2C</w:t>
      </w:r>
      <w:r>
        <w:noBreakHyphen/>
        <w:t>CC: “</w:t>
      </w:r>
      <w:r w:rsidRPr="00436A20">
        <w:t>Vehicle C-ITS station profile</w:t>
      </w:r>
      <w:r>
        <w:t xml:space="preserve"> #</w:t>
      </w:r>
      <w:r w:rsidRPr="00436A20">
        <w:t>2037</w:t>
      </w:r>
      <w:r>
        <w:t xml:space="preserve">”, </w:t>
      </w:r>
      <w:r w:rsidRPr="00436A20">
        <w:t>RS_BSP_240</w:t>
      </w:r>
      <w:r>
        <w:t>] a sliding average filter for the controller input signal is specified. This makes an analysis of the nonlinear control algorithm more complicated. Therefore, such an input filtering is not foreseen in clause </w:t>
      </w:r>
      <w:r>
        <w:fldChar w:fldCharType="begin"/>
      </w:r>
      <w:r>
        <w:instrText xml:space="preserve"> REF Cls_B_Structure \h </w:instrText>
      </w:r>
      <w:r>
        <w:fldChar w:fldCharType="separate"/>
      </w:r>
      <w:r>
        <w:t>B.1.3</w:t>
      </w:r>
      <w:r>
        <w:fldChar w:fldCharType="end"/>
      </w:r>
      <w:r>
        <w:t>.</w:t>
      </w:r>
    </w:p>
    <w:p w14:paraId="06614F65" w14:textId="77777777" w:rsidR="009042C0" w:rsidRDefault="009042C0" w:rsidP="009042C0">
      <w:r>
        <w:t xml:space="preserve">To model this input filtering, the channel load at </w:t>
      </w:r>
      <m:oMath>
        <m:r>
          <w:rPr>
            <w:rFonts w:ascii="Cambria Math" w:hAnsi="Cambria Math"/>
          </w:rPr>
          <m:t>t</m:t>
        </m:r>
        <m:r>
          <m:rPr>
            <m:sty m:val="p"/>
          </m:rPr>
          <w:rPr>
            <w:rFonts w:ascii="Cambria Math" w:hAnsi="Cambria Math"/>
          </w:rPr>
          <m:t>-2×</m:t>
        </m:r>
        <m:r>
          <w:rPr>
            <w:rFonts w:ascii="Cambria Math" w:hAnsi="Cambria Math"/>
          </w:rPr>
          <m:t>τ</m:t>
        </m:r>
      </m:oMath>
      <w:r>
        <w:t xml:space="preserve"> is needed. With equation </w:t>
      </w:r>
      <w:r>
        <w:fldChar w:fldCharType="begin"/>
      </w:r>
      <w:r>
        <w:instrText xml:space="preserve"> REF EQ_CL_cfn \h </w:instrText>
      </w:r>
      <w:r>
        <w:fldChar w:fldCharType="separate"/>
      </w:r>
      <w:r>
        <w:rPr>
          <w:noProof/>
        </w:rPr>
        <w:t>30</w:t>
      </w:r>
      <w:r>
        <w:fldChar w:fldCharType="end"/>
      </w:r>
      <w:r>
        <w:t xml:space="preserve"> this results in the dynamic </w:t>
      </w:r>
      <w:r w:rsidRPr="00C53B80">
        <w:t xml:space="preserve">channel </w:t>
      </w:r>
      <w:r>
        <w:t>load equation </w:t>
      </w:r>
      <w:r>
        <w:fldChar w:fldCharType="begin"/>
      </w:r>
      <w:r>
        <w:instrText xml:space="preserve"> REF EQ_CL_C2C \h </w:instrText>
      </w:r>
      <w:r>
        <w:fldChar w:fldCharType="separate"/>
      </w:r>
      <w:r>
        <w:t>40</w:t>
      </w:r>
      <w:r>
        <w:fldChar w:fldCharType="end"/>
      </w:r>
    </w:p>
    <w:p w14:paraId="5E2F88B7" w14:textId="77777777" w:rsidR="009042C0" w:rsidRDefault="009042C0" w:rsidP="009042C0">
      <w:pPr>
        <w:pStyle w:val="EQ"/>
      </w:pPr>
      <w:r>
        <w:rPr>
          <w:noProof w:val="0"/>
        </w:rPr>
        <w:tab/>
      </w:r>
      <w:bookmarkStart w:id="355" w:name="_Hlk186641730"/>
      <m:oMath>
        <m:r>
          <w:rPr>
            <w:rFonts w:ascii="Cambria Math" w:hAnsi="Cambria Math"/>
          </w:rPr>
          <m:t>CL</m:t>
        </m:r>
        <m:d>
          <m:dPr>
            <m:ctrlPr>
              <w:rPr>
                <w:rFonts w:ascii="Cambria Math" w:hAnsi="Cambria Math"/>
              </w:rPr>
            </m:ctrlPr>
          </m:dPr>
          <m:e>
            <m:r>
              <w:rPr>
                <w:rFonts w:ascii="Cambria Math" w:hAnsi="Cambria Math"/>
              </w:rPr>
              <m:t>t</m:t>
            </m:r>
          </m:e>
        </m:d>
        <m:r>
          <m:rPr>
            <m:sty m:val="p"/>
          </m:rPr>
          <w:rPr>
            <w:rFonts w:ascii="Cambria Math" w:hAnsi="Cambria Math"/>
          </w:rPr>
          <m:t>=</m:t>
        </m:r>
        <m:f>
          <m:fPr>
            <m:ctrlPr>
              <w:rPr>
                <w:rFonts w:ascii="Cambria Math" w:hAnsi="Cambria Math"/>
              </w:rPr>
            </m:ctrlPr>
          </m:fPr>
          <m:num>
            <m:r>
              <w:rPr>
                <w:rFonts w:ascii="Cambria Math" w:hAnsi="Cambria Math"/>
              </w:rPr>
              <m:t>N×</m:t>
            </m:r>
            <m:sSub>
              <m:sSubPr>
                <m:ctrlPr>
                  <w:rPr>
                    <w:rFonts w:ascii="Cambria Math" w:hAnsi="Cambria Math"/>
                  </w:rPr>
                </m:ctrlPr>
              </m:sSubPr>
              <m:e>
                <m:r>
                  <w:rPr>
                    <w:rFonts w:ascii="Cambria Math" w:hAnsi="Cambria Math"/>
                  </w:rPr>
                  <m:t>T</m:t>
                </m:r>
              </m:e>
              <m:sub>
                <m:r>
                  <w:rPr>
                    <w:rFonts w:ascii="Cambria Math" w:hAnsi="Cambria Math"/>
                  </w:rPr>
                  <m:t>on</m:t>
                </m:r>
              </m:sub>
            </m:sSub>
          </m:num>
          <m:den>
            <m:d>
              <m:dPr>
                <m:ctrlPr>
                  <w:rPr>
                    <w:rFonts w:ascii="Cambria Math" w:hAnsi="Cambria Math"/>
                    <w:i/>
                  </w:rPr>
                </m:ctrlPr>
              </m:dPr>
              <m:e>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-2×</m:t>
                    </m:r>
                    <m:r>
                      <w:rPr>
                        <w:rFonts w:ascii="Cambria Math" w:hAnsi="Cambria Math"/>
                      </w:rPr>
                      <m:t>τ</m:t>
                    </m:r>
                  </m:e>
                </m:d>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a</m:t>
                    </m:r>
                  </m:sub>
                </m:sSub>
              </m:num>
              <m:den>
                <m: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on</m:t>
                </m:r>
              </m:sub>
            </m:sSub>
          </m:den>
        </m:f>
      </m:oMath>
      <w:bookmarkEnd w:id="355"/>
      <w:r>
        <w:rPr>
          <w:noProof w:val="0"/>
        </w:rPr>
        <w:t xml:space="preserve"> .</w:t>
      </w:r>
      <w:r w:rsidRPr="00445DD4">
        <w:tab/>
        <w:t>(</w:t>
      </w:r>
      <w:bookmarkStart w:id="356" w:name="EQ_CL_C2C"/>
      <w:r w:rsidRPr="00445DD4">
        <w:fldChar w:fldCharType="begin"/>
      </w:r>
      <w:r w:rsidRPr="00445DD4">
        <w:instrText xml:space="preserve"> SEQ Eq \* MERGEFORMAT </w:instrText>
      </w:r>
      <w:r w:rsidRPr="00445DD4">
        <w:fldChar w:fldCharType="separate"/>
      </w:r>
      <w:r>
        <w:t>40</w:t>
      </w:r>
      <w:r w:rsidRPr="00445DD4">
        <w:fldChar w:fldCharType="end"/>
      </w:r>
      <w:bookmarkEnd w:id="356"/>
      <w:r w:rsidRPr="00445DD4">
        <w:t>)</w:t>
      </w:r>
    </w:p>
    <w:p w14:paraId="609CC911" w14:textId="77777777" w:rsidR="009042C0" w:rsidRDefault="009042C0" w:rsidP="009042C0">
      <w:r>
        <w:t>This input filtering does not change the equilibrium channel load. Because it uses the average of two previous channel loads as input, and since in the steady state case all channel loads are considered to be equal to the equilibrium channel load, the average will also be the equilibrium channel load as given in equation </w:t>
      </w:r>
      <w:r>
        <w:fldChar w:fldCharType="begin"/>
      </w:r>
      <w:r>
        <w:instrText xml:space="preserve"> REF EQ_CL12_reactive \h </w:instrText>
      </w:r>
      <w:r>
        <w:fldChar w:fldCharType="separate"/>
      </w:r>
      <w:r>
        <w:rPr>
          <w:noProof/>
        </w:rPr>
        <w:t>29</w:t>
      </w:r>
      <w:r>
        <w:fldChar w:fldCharType="end"/>
      </w:r>
      <w:r>
        <w:t>.</w:t>
      </w:r>
    </w:p>
    <w:p w14:paraId="79DA834A" w14:textId="77777777" w:rsidR="009042C0" w:rsidRDefault="009042C0" w:rsidP="009042C0">
      <w:r>
        <w:t xml:space="preserve">Furthermore, when </w:t>
      </w:r>
      <m:oMath>
        <m:r>
          <w:rPr>
            <w:rFonts w:ascii="Cambria Math" w:hAnsi="Cambria Math"/>
          </w:rPr>
          <m:t>τ</m:t>
        </m:r>
      </m:oMath>
      <w:r>
        <w:t xml:space="preserve"> is close to zero, the average </w:t>
      </w:r>
      <m:oMath>
        <m:f>
          <m:fPr>
            <m:ctrlPr>
              <w:rPr>
                <w:rFonts w:ascii="Cambria Math" w:hAnsi="Cambria Math"/>
                <w:i/>
              </w:rPr>
            </m:ctrlPr>
          </m:fPr>
          <m:num>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-2×</m:t>
                </m:r>
                <m:r>
                  <w:rPr>
                    <w:rFonts w:ascii="Cambria Math" w:hAnsi="Cambria Math"/>
                  </w:rPr>
                  <m:t>τ</m:t>
                </m:r>
              </m:e>
            </m:d>
          </m:num>
          <m:den>
            <m:r>
              <w:rPr>
                <w:rFonts w:ascii="Cambria Math" w:hAnsi="Cambria Math"/>
              </w:rPr>
              <m:t>2</m:t>
            </m:r>
          </m:den>
        </m:f>
      </m:oMath>
      <w:r>
        <w:t xml:space="preserve"> will be </w:t>
      </w:r>
      <m:oMath>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w:rPr>
                    <w:rFonts w:ascii="Cambria Math" w:hAnsi="Cambria Math"/>
                  </w:rPr>
                  <m:t>2</m:t>
                </m:r>
              </m:den>
            </m:f>
            <m:r>
              <m:rPr>
                <m:sty m:val="p"/>
              </m:rPr>
              <w:rPr>
                <w:rFonts w:ascii="Cambria Math" w:hAnsi="Cambria Math"/>
              </w:rPr>
              <m:t>×</m:t>
            </m:r>
            <m:r>
              <w:rPr>
                <w:rFonts w:ascii="Cambria Math" w:hAnsi="Cambria Math"/>
              </w:rPr>
              <m:t>τ</m:t>
            </m:r>
          </m:e>
        </m:d>
      </m:oMath>
      <w:r>
        <w:t>.</w:t>
      </w:r>
    </w:p>
    <w:p w14:paraId="4EEBA039" w14:textId="77777777" w:rsidR="009042C0" w:rsidRDefault="009042C0" w:rsidP="009042C0">
      <w:pPr>
        <w:pStyle w:val="EQ"/>
      </w:pPr>
      <w:r>
        <w:rPr>
          <w:noProof w:val="0"/>
        </w:rPr>
        <w:tab/>
      </w:r>
      <m:oMath>
        <m:func>
          <m:funcPr>
            <m:ctrlPr>
              <w:rPr>
                <w:rFonts w:ascii="Cambria Math" w:hAnsi="Cambria Math"/>
                <w:i/>
                <w:noProof w:val="0"/>
              </w:rPr>
            </m:ctrlPr>
          </m:funcPr>
          <m:fName>
            <m:limLow>
              <m:limLowPr>
                <m:ctrlPr>
                  <w:rPr>
                    <w:rFonts w:ascii="Cambria Math" w:hAnsi="Cambria Math"/>
                    <w:i/>
                    <w:noProof w:val="0"/>
                  </w:rPr>
                </m:ctrlPr>
              </m:limLowPr>
              <m:e>
                <m:r>
                  <m:rPr>
                    <m:sty m:val="p"/>
                  </m:rPr>
                  <w:rPr>
                    <w:rFonts w:ascii="Cambria Math" w:hAnsi="Cambria Math"/>
                  </w:rPr>
                  <m:t>lim</m:t>
                </m:r>
              </m:e>
              <m:lim>
                <m:r>
                  <w:rPr>
                    <w:rFonts w:ascii="Cambria Math" w:hAnsi="Cambria Math"/>
                    <w:noProof w:val="0"/>
                  </w:rPr>
                  <m:t>τ→0</m:t>
                </m:r>
              </m:lim>
            </m:limLow>
          </m:fName>
          <m:e>
            <m:f>
              <m:fPr>
                <m:ctrlPr>
                  <w:rPr>
                    <w:rFonts w:ascii="Cambria Math" w:hAnsi="Cambria Math"/>
                    <w:i/>
                    <w:noProof w:val="0"/>
                  </w:rPr>
                </m:ctrlPr>
              </m:fPr>
              <m:num>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-2×</m:t>
                    </m:r>
                    <m:r>
                      <w:rPr>
                        <w:rFonts w:ascii="Cambria Math" w:hAnsi="Cambria Math"/>
                      </w:rPr>
                      <m:t>τ</m:t>
                    </m:r>
                  </m:e>
                </m:d>
              </m:num>
              <m:den>
                <m:r>
                  <w:rPr>
                    <w:rFonts w:ascii="Cambria Math" w:hAnsi="Cambria Math"/>
                  </w:rPr>
                  <m:t>2</m:t>
                </m:r>
              </m:den>
            </m:f>
          </m:e>
        </m:func>
        <m:r>
          <w:rPr>
            <w:rFonts w:ascii="Cambria Math" w:hAnsi="Cambria Math"/>
            <w:noProof w:val="0"/>
          </w:rPr>
          <m:t>=</m:t>
        </m:r>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f>
              <m:fPr>
                <m:ctrlPr>
                  <w:rPr>
                    <w:rFonts w:ascii="Cambria Math" w:hAnsi="Cambria Math"/>
                    <w:noProof w:val="0"/>
                  </w:rPr>
                </m:ctrlPr>
              </m:fPr>
              <m:num>
                <m:r>
                  <m:rPr>
                    <m:sty m:val="p"/>
                  </m:rPr>
                  <w:rPr>
                    <w:rFonts w:ascii="Cambria Math" w:hAnsi="Cambria Math"/>
                  </w:rPr>
                  <m:t>3</m:t>
                </m:r>
              </m:num>
              <m:den>
                <m:r>
                  <w:rPr>
                    <w:rFonts w:ascii="Cambria Math" w:hAnsi="Cambria Math"/>
                  </w:rPr>
                  <m:t>2</m:t>
                </m:r>
              </m:den>
            </m:f>
            <m:r>
              <m:rPr>
                <m:sty m:val="p"/>
              </m:rPr>
              <w:rPr>
                <w:rFonts w:ascii="Cambria Math" w:hAnsi="Cambria Math"/>
              </w:rPr>
              <m:t>×</m:t>
            </m:r>
            <m:r>
              <w:rPr>
                <w:rFonts w:ascii="Cambria Math" w:hAnsi="Cambria Math"/>
              </w:rPr>
              <m:t>τ</m:t>
            </m:r>
          </m:e>
        </m:d>
      </m:oMath>
      <w:r w:rsidRPr="00445DD4">
        <w:tab/>
        <w:t>(</w:t>
      </w:r>
      <w:bookmarkStart w:id="357" w:name="EQ_lim_CL_C2C"/>
      <w:r w:rsidRPr="00445DD4">
        <w:fldChar w:fldCharType="begin"/>
      </w:r>
      <w:r w:rsidRPr="00445DD4">
        <w:instrText xml:space="preserve"> SEQ Eq \* MERGEFORMAT </w:instrText>
      </w:r>
      <w:r w:rsidRPr="00445DD4">
        <w:fldChar w:fldCharType="separate"/>
      </w:r>
      <w:r>
        <w:t>41</w:t>
      </w:r>
      <w:r w:rsidRPr="00445DD4">
        <w:fldChar w:fldCharType="end"/>
      </w:r>
      <w:bookmarkEnd w:id="357"/>
      <w:r w:rsidRPr="00445DD4">
        <w:t>)</w:t>
      </w:r>
    </w:p>
    <w:p w14:paraId="406E8B97" w14:textId="77777777" w:rsidR="009042C0" w:rsidRDefault="009042C0" w:rsidP="009042C0">
      <w:r>
        <w:t>From equation </w:t>
      </w:r>
      <w:r>
        <w:fldChar w:fldCharType="begin"/>
      </w:r>
      <w:r>
        <w:instrText xml:space="preserve"> REF EQ_lim_CL_C2C \h </w:instrText>
      </w:r>
      <w:r>
        <w:fldChar w:fldCharType="separate"/>
      </w:r>
      <w:r>
        <w:rPr>
          <w:noProof/>
        </w:rPr>
        <w:t>41</w:t>
      </w:r>
      <w:r>
        <w:fldChar w:fldCharType="end"/>
      </w:r>
      <w:r>
        <w:t xml:space="preserve"> follows that differential equation </w:t>
      </w:r>
      <w:r>
        <w:fldChar w:fldCharType="begin"/>
      </w:r>
      <w:r>
        <w:instrText xml:space="preserve"> REF EQ_reactive_DEG \h </w:instrText>
      </w:r>
      <w:r>
        <w:fldChar w:fldCharType="separate"/>
      </w:r>
      <w:r>
        <w:rPr>
          <w:noProof/>
        </w:rPr>
        <w:t>35</w:t>
      </w:r>
      <w:r>
        <w:fldChar w:fldCharType="end"/>
      </w:r>
      <w:r>
        <w:t>, its solution in equation </w:t>
      </w:r>
      <w:r>
        <w:fldChar w:fldCharType="begin"/>
      </w:r>
      <w:r>
        <w:instrText xml:space="preserve"> REF EQ_reactive_DEG_solution \h </w:instrText>
      </w:r>
      <w:r>
        <w:fldChar w:fldCharType="separate"/>
      </w:r>
      <w:r>
        <w:rPr>
          <w:noProof/>
        </w:rPr>
        <w:t>37</w:t>
      </w:r>
      <w:r>
        <w:fldChar w:fldCharType="end"/>
      </w:r>
      <w:r>
        <w:t>, and all conclusions drawn for the continuous time behaviour of the reactive approach according to [</w:t>
      </w:r>
      <w:r w:rsidRPr="00436A20">
        <w:t>ETSI</w:t>
      </w:r>
      <w:r>
        <w:t> </w:t>
      </w:r>
      <w:r w:rsidRPr="00436A20">
        <w:t>TS</w:t>
      </w:r>
      <w:r>
        <w:t> </w:t>
      </w:r>
      <w:r w:rsidRPr="00436A20">
        <w:t>102</w:t>
      </w:r>
      <w:r>
        <w:t> </w:t>
      </w:r>
      <w:r w:rsidRPr="00436A20">
        <w:t>687</w:t>
      </w:r>
      <w:r>
        <w:t> </w:t>
      </w:r>
      <w:r w:rsidRPr="00436A20">
        <w:t>V1.2.1</w:t>
      </w:r>
      <w:r>
        <w:t>] also apply for the DCC as specified in [C2C</w:t>
      </w:r>
      <w:r>
        <w:noBreakHyphen/>
        <w:t>CC: “</w:t>
      </w:r>
      <w:r w:rsidRPr="00436A20">
        <w:t>Vehicle C-ITS station profile</w:t>
      </w:r>
      <w:r>
        <w:t xml:space="preserve"> #</w:t>
      </w:r>
      <w:r w:rsidRPr="00436A20">
        <w:t>2037</w:t>
      </w:r>
      <w:r>
        <w:t xml:space="preserve">”, </w:t>
      </w:r>
      <w:r w:rsidRPr="00436A20">
        <w:t>RS_BSP_240</w:t>
      </w:r>
      <w:r>
        <w:t xml:space="preserve">]. The difference lies in the behaviour of the discrete time / discrete </w:t>
      </w:r>
      <w:r w:rsidRPr="008C59FC">
        <w:rPr>
          <w:i/>
          <w:iCs/>
        </w:rPr>
        <w:t>T</w:t>
      </w:r>
      <w:r w:rsidRPr="008C59FC">
        <w:rPr>
          <w:i/>
          <w:iCs/>
          <w:vertAlign w:val="subscript"/>
        </w:rPr>
        <w:t>off</w:t>
      </w:r>
      <w:r>
        <w:t xml:space="preserve"> implementation.</w:t>
      </w:r>
    </w:p>
    <w:p w14:paraId="65FCFFCC" w14:textId="77777777" w:rsidR="00D83CEF" w:rsidRDefault="00D83CEF" w:rsidP="00D83CEF">
      <w:pPr>
        <w:pStyle w:val="Heading2"/>
      </w:pPr>
      <w:bookmarkStart w:id="358" w:name="_Toc196916028"/>
      <w:bookmarkStart w:id="359" w:name="_Toc197337084"/>
      <w:r>
        <w:t>C.2</w:t>
      </w:r>
      <w:r>
        <w:tab/>
        <w:t>Adaptive congestion control</w:t>
      </w:r>
      <w:bookmarkEnd w:id="358"/>
      <w:bookmarkEnd w:id="359"/>
    </w:p>
    <w:p w14:paraId="35EE1E3C" w14:textId="77777777" w:rsidR="00D83CEF" w:rsidRDefault="00D83CEF" w:rsidP="00D83CEF">
      <w:pPr>
        <w:pStyle w:val="Heading3"/>
      </w:pPr>
      <w:bookmarkStart w:id="360" w:name="_Toc196916029"/>
      <w:bookmarkStart w:id="361" w:name="_Toc197337085"/>
      <w:r>
        <w:t>C.2.1</w:t>
      </w:r>
      <w:r>
        <w:tab/>
        <w:t>Control equilibrium of the adaptive congestion control</w:t>
      </w:r>
      <w:bookmarkEnd w:id="360"/>
      <w:bookmarkEnd w:id="361"/>
    </w:p>
    <w:p w14:paraId="0B0AB792" w14:textId="77777777" w:rsidR="00D83CEF" w:rsidRPr="00C53B80" w:rsidRDefault="00D83CEF" w:rsidP="00D83CEF">
      <w:r w:rsidRPr="00C53B80">
        <w:t xml:space="preserve">The </w:t>
      </w:r>
      <w:r>
        <w:t>adaptive congestion control</w:t>
      </w:r>
      <w:r w:rsidRPr="00C53B80">
        <w:t xml:space="preserve"> concept is based on the idea that the radio channel can support a given maximum total target message rate </w:t>
      </w:r>
      <w:r w:rsidRPr="00C53B80">
        <w:rPr>
          <w:i/>
        </w:rPr>
        <w:t>r</w:t>
      </w:r>
      <w:r w:rsidRPr="00C53B80">
        <w:rPr>
          <w:i/>
          <w:vertAlign w:val="subscript"/>
        </w:rPr>
        <w:t>g</w:t>
      </w:r>
      <w:r w:rsidRPr="00C53B80">
        <w:t xml:space="preserve">. A proportional integral (PI) message rate control algorithm is used to adjust the transmission rate </w:t>
      </w:r>
      <w:r w:rsidRPr="00C53B80">
        <w:rPr>
          <w:i/>
        </w:rPr>
        <w:t>r</w:t>
      </w:r>
      <w:r w:rsidRPr="00C53B80">
        <w:rPr>
          <w:i/>
          <w:vertAlign w:val="subscript"/>
        </w:rPr>
        <w:t>j</w:t>
      </w:r>
      <w:r w:rsidRPr="00C53B80">
        <w:t xml:space="preserve"> of each network node according to equation </w:t>
      </w:r>
      <w:r>
        <w:rPr>
          <w:highlight w:val="yellow"/>
        </w:rPr>
        <w:fldChar w:fldCharType="begin"/>
      </w:r>
      <w:r w:rsidRPr="00C53B80">
        <w:instrText xml:space="preserve"> REF EQ_rj_LIMERIC \h </w:instrText>
      </w:r>
      <w:r>
        <w:rPr>
          <w:highlight w:val="yellow"/>
        </w:rPr>
      </w:r>
      <w:r>
        <w:rPr>
          <w:highlight w:val="yellow"/>
        </w:rPr>
        <w:fldChar w:fldCharType="separate"/>
      </w:r>
      <w:r>
        <w:rPr>
          <w:noProof/>
        </w:rPr>
        <w:t>42</w:t>
      </w:r>
      <w:r>
        <w:rPr>
          <w:highlight w:val="yellow"/>
        </w:rPr>
        <w:fldChar w:fldCharType="end"/>
      </w:r>
      <w:r w:rsidRPr="00C53B80">
        <w:t>.</w:t>
      </w:r>
    </w:p>
    <w:p w14:paraId="3531125D" w14:textId="77777777" w:rsidR="00D83CEF" w:rsidRPr="00445DD4" w:rsidRDefault="00D83CEF" w:rsidP="00D83CEF">
      <w:pPr>
        <w:pStyle w:val="EQ"/>
      </w:pPr>
      <w:r>
        <w:tab/>
      </w:r>
      <m:oMath>
        <m:sSub>
          <m:sSubPr>
            <m:ctrlPr>
              <w:rPr>
                <w:rFonts w:ascii="Cambria Math" w:hAnsi="Cambria Math"/>
              </w:rPr>
            </m:ctrlPr>
          </m:sSubPr>
          <m:e>
            <m:r>
              <w:rPr>
                <w:rFonts w:ascii="Cambria Math" w:hAnsi="Cambria Math"/>
              </w:rPr>
              <m:t>r</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j</m:t>
            </m:r>
          </m:sub>
        </m:sSub>
        <m:d>
          <m:dPr>
            <m:ctrlPr>
              <w:rPr>
                <w:rFonts w:ascii="Cambria Math" w:hAnsi="Cambria Math"/>
              </w:rPr>
            </m:ctrlPr>
          </m:dPr>
          <m:e>
            <m:r>
              <w:rPr>
                <w:rFonts w:ascii="Cambria Math" w:hAnsi="Cambria Math"/>
              </w:rPr>
              <m:t>t</m:t>
            </m:r>
            <m:r>
              <m:rPr>
                <m:sty m:val="p"/>
              </m:rPr>
              <w:rPr>
                <w:rFonts w:ascii="Cambria Math" w:hAnsi="Cambria Math"/>
              </w:rPr>
              <m:t>-τ</m:t>
            </m:r>
          </m:e>
        </m:d>
        <m:r>
          <m:rPr>
            <m:sty m:val="p"/>
          </m:rPr>
          <w:rPr>
            <w:rFonts w:ascii="Cambria Math" w:hAnsi="Cambria Math"/>
          </w:rPr>
          <m:t>+</m:t>
        </m:r>
        <m:sSub>
          <m:sSubPr>
            <m:ctrlPr>
              <w:rPr>
                <w:rFonts w:ascii="Cambria Math" w:hAnsi="Cambria Math"/>
              </w:rPr>
            </m:ctrlPr>
          </m:sSubPr>
          <m:e>
            <m:r>
              <w:rPr>
                <w:rFonts w:ascii="Cambria Math" w:hAnsi="Cambria Math"/>
              </w:rPr>
              <m:t>β</m:t>
            </m:r>
          </m:e>
          <m:sub>
            <m:r>
              <w:rPr>
                <w:rFonts w:ascii="Cambria Math" w:hAnsi="Cambria Math"/>
              </w:rPr>
              <m:t>o</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g</m:t>
                </m:r>
              </m:sub>
            </m:sSub>
            <m:r>
              <m:rPr>
                <m:sty m:val="p"/>
              </m:rPr>
              <w:rPr>
                <w:rFonts w:ascii="Cambria Math" w:hAnsi="Cambria Math"/>
              </w:rPr>
              <m:t>-</m:t>
            </m:r>
            <m:r>
              <w:rPr>
                <w:rFonts w:ascii="Cambria Math" w:hAnsi="Cambria Math"/>
              </w:rPr>
              <m:t>r</m:t>
            </m:r>
            <m:d>
              <m:dPr>
                <m:ctrlPr>
                  <w:rPr>
                    <w:rFonts w:ascii="Cambria Math" w:hAnsi="Cambria Math"/>
                  </w:rPr>
                </m:ctrlPr>
              </m:dPr>
              <m:e>
                <m:r>
                  <w:rPr>
                    <w:rFonts w:ascii="Cambria Math" w:hAnsi="Cambria Math"/>
                  </w:rPr>
                  <m:t>t</m:t>
                </m:r>
                <m:r>
                  <m:rPr>
                    <m:sty m:val="p"/>
                  </m:rPr>
                  <w:rPr>
                    <w:rFonts w:ascii="Cambria Math" w:hAnsi="Cambria Math"/>
                  </w:rPr>
                  <m:t>-τ</m:t>
                </m:r>
              </m:e>
            </m:d>
          </m:e>
        </m:d>
      </m:oMath>
      <w:r>
        <w:tab/>
      </w:r>
      <w:r w:rsidRPr="00445DD4">
        <w:t>(</w:t>
      </w:r>
      <w:bookmarkStart w:id="362" w:name="EQ_rj_LIMERIC"/>
      <w:r w:rsidRPr="00445DD4">
        <w:fldChar w:fldCharType="begin"/>
      </w:r>
      <w:r w:rsidRPr="00445DD4">
        <w:instrText xml:space="preserve"> SEQ Eq \* MERGEFORMAT </w:instrText>
      </w:r>
      <w:r w:rsidRPr="00445DD4">
        <w:fldChar w:fldCharType="separate"/>
      </w:r>
      <w:r>
        <w:t>42</w:t>
      </w:r>
      <w:r w:rsidRPr="00445DD4">
        <w:fldChar w:fldCharType="end"/>
      </w:r>
      <w:bookmarkEnd w:id="362"/>
      <w:r w:rsidRPr="00445DD4">
        <w:t>)</w:t>
      </w:r>
    </w:p>
    <w:p w14:paraId="369A47B6" w14:textId="77777777" w:rsidR="00D83CEF" w:rsidRPr="00C53B80" w:rsidRDefault="00D83CEF" w:rsidP="00D83CEF">
      <m:oMath>
        <m:r>
          <w:rPr>
            <w:rFonts w:ascii="Cambria Math" w:hAnsi="Cambria Math"/>
          </w:rPr>
          <m:t>r</m:t>
        </m:r>
        <m:d>
          <m:dPr>
            <m:ctrlPr>
              <w:rPr>
                <w:rFonts w:ascii="Cambria Math" w:hAnsi="Cambria Math"/>
                <w:i/>
              </w:rPr>
            </m:ctrlPr>
          </m:dPr>
          <m:e>
            <m:r>
              <w:rPr>
                <w:rFonts w:ascii="Cambria Math" w:hAnsi="Cambria Math"/>
              </w:rPr>
              <m:t>t-τ</m:t>
            </m:r>
          </m:e>
        </m:d>
      </m:oMath>
      <w:r w:rsidRPr="00C53B80">
        <w:t xml:space="preserve"> is the total rate contribution of all nodes </w:t>
      </w:r>
      <w:r w:rsidRPr="00C53B80">
        <w:rPr>
          <w:i/>
        </w:rPr>
        <w:t>N</w:t>
      </w:r>
      <w:r>
        <w:rPr>
          <w:i/>
        </w:rPr>
        <w:t xml:space="preserve"> </w:t>
      </w:r>
      <w:r>
        <w:t xml:space="preserve">in the previous time step </w:t>
      </w:r>
      <w:r w:rsidRPr="00C53B80">
        <w:t>and results from equation </w:t>
      </w:r>
      <w:r>
        <w:fldChar w:fldCharType="begin"/>
      </w:r>
      <w:r w:rsidRPr="00C53B80">
        <w:instrText xml:space="preserve"> REF EQ_r_LIMERIC \h </w:instrText>
      </w:r>
      <w:r>
        <w:fldChar w:fldCharType="separate"/>
      </w:r>
      <w:r>
        <w:rPr>
          <w:noProof/>
        </w:rPr>
        <w:t>43</w:t>
      </w:r>
      <w:r>
        <w:fldChar w:fldCharType="end"/>
      </w:r>
      <w:r w:rsidRPr="00C53B80">
        <w:t>.</w:t>
      </w:r>
      <w:r>
        <w:t xml:space="preserve"> The time step duration is given by </w:t>
      </w:r>
      <w:r w:rsidRPr="00A60DAF">
        <w:rPr>
          <w:i/>
        </w:rPr>
        <w:sym w:font="Symbol" w:char="F074"/>
      </w:r>
      <w:r>
        <w:t>.</w:t>
      </w:r>
    </w:p>
    <w:p w14:paraId="57BDE75C" w14:textId="77777777" w:rsidR="00D83CEF" w:rsidRPr="008A0A7F" w:rsidRDefault="00D83CEF" w:rsidP="00D83CEF">
      <w:pPr>
        <w:pStyle w:val="EQ"/>
      </w:pPr>
      <w:r>
        <w:tab/>
      </w:r>
      <m:oMath>
        <m:r>
          <w:rPr>
            <w:rFonts w:ascii="Cambria Math" w:hAnsi="Cambria Math"/>
          </w:rPr>
          <m:t>r</m:t>
        </m:r>
        <m:d>
          <m:dPr>
            <m:ctrlPr>
              <w:rPr>
                <w:rFonts w:ascii="Cambria Math" w:hAnsi="Cambria Math"/>
                <w:i/>
              </w:rPr>
            </m:ctrlPr>
          </m:dPr>
          <m:e>
            <m:r>
              <w:rPr>
                <w:rFonts w:ascii="Cambria Math" w:hAnsi="Cambria Math"/>
              </w:rPr>
              <m:t>t-τ</m:t>
            </m:r>
          </m:e>
        </m:d>
        <m:r>
          <w:rPr>
            <w:rFonts w:ascii="Cambria Math" w:hAnsi="Cambria Math"/>
          </w:rPr>
          <m:t>=N×</m:t>
        </m:r>
        <m:sSub>
          <m:sSubPr>
            <m:ctrlPr>
              <w:rPr>
                <w:rFonts w:ascii="Cambria Math" w:hAnsi="Cambria Math"/>
                <w:i/>
              </w:rPr>
            </m:ctrlPr>
          </m:sSubPr>
          <m:e>
            <m:r>
              <w:rPr>
                <w:rFonts w:ascii="Cambria Math" w:hAnsi="Cambria Math"/>
              </w:rPr>
              <m:t>r</m:t>
            </m:r>
          </m:e>
          <m:sub>
            <m:r>
              <w:rPr>
                <w:rFonts w:ascii="Cambria Math" w:hAnsi="Cambria Math"/>
              </w:rPr>
              <m:t>j</m:t>
            </m:r>
          </m:sub>
        </m:sSub>
        <m:d>
          <m:dPr>
            <m:ctrlPr>
              <w:rPr>
                <w:rFonts w:ascii="Cambria Math" w:hAnsi="Cambria Math"/>
                <w:i/>
              </w:rPr>
            </m:ctrlPr>
          </m:dPr>
          <m:e>
            <m:r>
              <w:rPr>
                <w:rFonts w:ascii="Cambria Math" w:hAnsi="Cambria Math"/>
              </w:rPr>
              <m:t>t-τ</m:t>
            </m:r>
          </m:e>
        </m:d>
      </m:oMath>
      <w:r>
        <w:tab/>
      </w:r>
      <w:r w:rsidRPr="00445DD4">
        <w:t>(</w:t>
      </w:r>
      <w:bookmarkStart w:id="363" w:name="EQ_r_LIMERIC"/>
      <w:r w:rsidRPr="00445DD4">
        <w:fldChar w:fldCharType="begin"/>
      </w:r>
      <w:r w:rsidRPr="00445DD4">
        <w:instrText xml:space="preserve"> SEQ Eq \* MERGEFORMAT </w:instrText>
      </w:r>
      <w:r w:rsidRPr="00445DD4">
        <w:fldChar w:fldCharType="separate"/>
      </w:r>
      <w:r>
        <w:t>43</w:t>
      </w:r>
      <w:r w:rsidRPr="00445DD4">
        <w:fldChar w:fldCharType="end"/>
      </w:r>
      <w:bookmarkEnd w:id="363"/>
      <w:r w:rsidRPr="00445DD4">
        <w:t>)</w:t>
      </w:r>
    </w:p>
    <w:p w14:paraId="2B6190E3" w14:textId="77777777" w:rsidR="00D83CEF" w:rsidRPr="00C53B80" w:rsidRDefault="00D83CEF" w:rsidP="00D83CEF">
      <w:r w:rsidRPr="00C53B80">
        <w:t xml:space="preserve">The target message rate </w:t>
      </w:r>
      <w:r w:rsidRPr="00C53B80">
        <w:rPr>
          <w:i/>
        </w:rPr>
        <w:t>r</w:t>
      </w:r>
      <w:r w:rsidRPr="00C53B80">
        <w:rPr>
          <w:i/>
          <w:vertAlign w:val="subscript"/>
        </w:rPr>
        <w:t>g</w:t>
      </w:r>
      <w:r w:rsidRPr="00C53B80">
        <w:t xml:space="preserve"> that can be supported by the radio channel depends on the message duration, therefore this concept works only fine when the message duration is (almost) fixed and known. Otherwise</w:t>
      </w:r>
      <w:r>
        <w:t>,</w:t>
      </w:r>
      <w:r w:rsidRPr="00C53B80">
        <w:t xml:space="preserve"> a maximum message duration </w:t>
      </w:r>
      <w:r w:rsidRPr="00C53B80">
        <w:rPr>
          <w:i/>
        </w:rPr>
        <w:t>T</w:t>
      </w:r>
      <w:r w:rsidRPr="00C53B80">
        <w:rPr>
          <w:i/>
          <w:vertAlign w:val="subscript"/>
        </w:rPr>
        <w:t>on max</w:t>
      </w:r>
      <w:r w:rsidRPr="00C53B80">
        <w:t xml:space="preserve"> must be estimated or considered. </w:t>
      </w:r>
      <w:r w:rsidRPr="00C53B80">
        <w:rPr>
          <w:i/>
        </w:rPr>
        <w:t>r</w:t>
      </w:r>
      <w:r w:rsidRPr="00C53B80">
        <w:rPr>
          <w:i/>
          <w:vertAlign w:val="subscript"/>
        </w:rPr>
        <w:t>g</w:t>
      </w:r>
      <w:r w:rsidRPr="00C53B80">
        <w:t xml:space="preserve"> can then be set according to equation </w:t>
      </w:r>
      <w:r>
        <w:fldChar w:fldCharType="begin"/>
      </w:r>
      <w:r w:rsidRPr="00C53B80">
        <w:instrText xml:space="preserve"> REF EQ_rg_LIMERIC \h </w:instrText>
      </w:r>
      <w:r>
        <w:fldChar w:fldCharType="separate"/>
      </w:r>
      <w:r>
        <w:rPr>
          <w:noProof/>
        </w:rPr>
        <w:t>44</w:t>
      </w:r>
      <w:r>
        <w:fldChar w:fldCharType="end"/>
      </w:r>
      <w:r w:rsidRPr="00C53B80">
        <w:t xml:space="preserve"> so that the channel load is limited to e.g. </w:t>
      </w:r>
      <w:r w:rsidRPr="00C53B80">
        <w:rPr>
          <w:i/>
        </w:rPr>
        <w:t>CL</w:t>
      </w:r>
      <w:r w:rsidRPr="00C53B80">
        <w:rPr>
          <w:i/>
          <w:vertAlign w:val="subscript"/>
        </w:rPr>
        <w:t>max</w:t>
      </w:r>
      <w:r w:rsidRPr="00C53B80">
        <w:t>= 70%, which is a good default value.</w:t>
      </w:r>
    </w:p>
    <w:p w14:paraId="59000D7C" w14:textId="77777777" w:rsidR="00D83CEF" w:rsidRPr="00445DD4" w:rsidRDefault="00D83CEF" w:rsidP="00D83CEF">
      <w:pPr>
        <w:pStyle w:val="EQ"/>
      </w:pPr>
      <w:r>
        <w:tab/>
      </w:r>
      <m:oMath>
        <m:sSub>
          <m:sSubPr>
            <m:ctrlPr>
              <w:rPr>
                <w:rFonts w:ascii="Cambria Math" w:hAnsi="Cambria Math"/>
              </w:rPr>
            </m:ctrlPr>
          </m:sSubPr>
          <m:e>
            <m:r>
              <w:rPr>
                <w:rFonts w:ascii="Cambria Math" w:hAnsi="Cambria Math"/>
              </w:rPr>
              <m:t>r</m:t>
            </m:r>
          </m:e>
          <m:sub>
            <m:r>
              <w:rPr>
                <w:rFonts w:ascii="Cambria Math" w:hAnsi="Cambria Math"/>
              </w:rPr>
              <m:t>g</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CL</m:t>
                </m:r>
              </m:e>
              <m:sub>
                <m:r>
                  <w:rPr>
                    <w:rFonts w:ascii="Cambria Math" w:hAnsi="Cambria Math"/>
                  </w:rPr>
                  <m:t>max</m:t>
                </m:r>
              </m:sub>
            </m:sSub>
          </m:num>
          <m:den>
            <m:sSub>
              <m:sSubPr>
                <m:ctrlPr>
                  <w:rPr>
                    <w:rFonts w:ascii="Cambria Math" w:hAnsi="Cambria Math"/>
                  </w:rPr>
                </m:ctrlPr>
              </m:sSubPr>
              <m:e>
                <m:r>
                  <w:rPr>
                    <w:rFonts w:ascii="Cambria Math" w:hAnsi="Cambria Math"/>
                  </w:rPr>
                  <m:t>T</m:t>
                </m:r>
              </m:e>
              <m:sub>
                <m:r>
                  <w:rPr>
                    <w:rFonts w:ascii="Cambria Math" w:hAnsi="Cambria Math"/>
                  </w:rPr>
                  <m:t>on</m:t>
                </m:r>
                <m:r>
                  <m:rPr>
                    <m:sty m:val="p"/>
                  </m:rPr>
                  <w:rPr>
                    <w:rFonts w:ascii="Cambria Math" w:hAnsi="Cambria Math"/>
                  </w:rPr>
                  <m:t xml:space="preserve"> </m:t>
                </m:r>
                <m:r>
                  <w:rPr>
                    <w:rFonts w:ascii="Cambria Math" w:hAnsi="Cambria Math"/>
                  </w:rPr>
                  <m:t>max</m:t>
                </m:r>
              </m:sub>
            </m:sSub>
          </m:den>
        </m:f>
      </m:oMath>
      <w:r>
        <w:tab/>
      </w:r>
      <w:r w:rsidRPr="00445DD4">
        <w:t>(</w:t>
      </w:r>
      <w:bookmarkStart w:id="364" w:name="EQ_rg_LIMERIC"/>
      <w:r w:rsidRPr="00445DD4">
        <w:fldChar w:fldCharType="begin"/>
      </w:r>
      <w:r w:rsidRPr="00445DD4">
        <w:instrText xml:space="preserve"> SEQ Eq \* MERGEFORMAT </w:instrText>
      </w:r>
      <w:r w:rsidRPr="00445DD4">
        <w:fldChar w:fldCharType="separate"/>
      </w:r>
      <w:r>
        <w:t>44</w:t>
      </w:r>
      <w:r w:rsidRPr="00445DD4">
        <w:fldChar w:fldCharType="end"/>
      </w:r>
      <w:bookmarkEnd w:id="364"/>
      <w:r w:rsidRPr="00445DD4">
        <w:t>)</w:t>
      </w:r>
    </w:p>
    <w:p w14:paraId="721230A6" w14:textId="77777777" w:rsidR="00D83CEF" w:rsidRPr="00C53B80" w:rsidRDefault="00D83CEF" w:rsidP="00D83CEF">
      <w:r w:rsidRPr="00C53B80">
        <w:t xml:space="preserve">Due to the shortcoming that </w:t>
      </w:r>
      <w:r w:rsidRPr="00C53B80">
        <w:rPr>
          <w:i/>
        </w:rPr>
        <w:t>r</w:t>
      </w:r>
      <w:r w:rsidRPr="00C53B80">
        <w:rPr>
          <w:i/>
          <w:vertAlign w:val="subscript"/>
        </w:rPr>
        <w:t>g</w:t>
      </w:r>
      <w:r w:rsidRPr="00C53B80">
        <w:t xml:space="preserve"> depends on </w:t>
      </w:r>
      <w:r w:rsidRPr="00C53B80">
        <w:rPr>
          <w:i/>
        </w:rPr>
        <w:t>T</w:t>
      </w:r>
      <w:r w:rsidRPr="00C53B80">
        <w:rPr>
          <w:i/>
          <w:vertAlign w:val="subscript"/>
        </w:rPr>
        <w:t>on</w:t>
      </w:r>
      <w:r w:rsidRPr="00C53B80">
        <w:t>, equation </w:t>
      </w:r>
      <w:r>
        <w:rPr>
          <w:highlight w:val="yellow"/>
        </w:rPr>
        <w:fldChar w:fldCharType="begin"/>
      </w:r>
      <w:r w:rsidRPr="00C53B80">
        <w:instrText xml:space="preserve"> REF EQ_rj_LIMERIC \h </w:instrText>
      </w:r>
      <w:r>
        <w:rPr>
          <w:highlight w:val="yellow"/>
        </w:rPr>
      </w:r>
      <w:r>
        <w:rPr>
          <w:highlight w:val="yellow"/>
        </w:rPr>
        <w:fldChar w:fldCharType="separate"/>
      </w:r>
      <w:r>
        <w:rPr>
          <w:noProof/>
        </w:rPr>
        <w:t>42</w:t>
      </w:r>
      <w:r>
        <w:rPr>
          <w:highlight w:val="yellow"/>
        </w:rPr>
        <w:fldChar w:fldCharType="end"/>
      </w:r>
      <w:r w:rsidRPr="00C53B80">
        <w:t xml:space="preserve"> was reformulated in </w:t>
      </w:r>
      <w:r>
        <w:t>[</w:t>
      </w:r>
      <w:r w:rsidRPr="00436A20">
        <w:t>ETSI</w:t>
      </w:r>
      <w:r>
        <w:t> </w:t>
      </w:r>
      <w:r w:rsidRPr="00436A20">
        <w:t>TS</w:t>
      </w:r>
      <w:r>
        <w:t> </w:t>
      </w:r>
      <w:r w:rsidRPr="00436A20">
        <w:t>102</w:t>
      </w:r>
      <w:r>
        <w:t> </w:t>
      </w:r>
      <w:r w:rsidRPr="00436A20">
        <w:t>687</w:t>
      </w:r>
      <w:r>
        <w:t> </w:t>
      </w:r>
      <w:r w:rsidRPr="00436A20">
        <w:t>V1.2.1</w:t>
      </w:r>
      <w:r>
        <w:t xml:space="preserve">] </w:t>
      </w:r>
      <w:r w:rsidRPr="00C53B80">
        <w:t xml:space="preserve">so that the estimated constant reciprocal message duration was put into the factor </w:t>
      </w:r>
      <m:oMath>
        <m:sSub>
          <m:sSubPr>
            <m:ctrlPr>
              <w:rPr>
                <w:rFonts w:ascii="Cambria Math" w:hAnsi="Cambria Math"/>
                <w:i/>
              </w:rPr>
            </m:ctrlPr>
          </m:sSubPr>
          <m:e>
            <m:r>
              <w:rPr>
                <w:rFonts w:ascii="Cambria Math" w:hAnsi="Cambria Math"/>
              </w:rPr>
              <m:t>β</m:t>
            </m:r>
          </m:e>
          <m:sub>
            <m:r>
              <w:rPr>
                <w:rFonts w:ascii="Cambria Math" w:hAnsi="Cambria Math"/>
              </w:rPr>
              <m:t>o</m:t>
            </m:r>
          </m:sub>
        </m:sSub>
      </m:oMath>
      <w:r w:rsidRPr="00C53B80">
        <w:rPr>
          <w:rFonts w:eastAsiaTheme="minorEastAsia"/>
        </w:rPr>
        <w:t xml:space="preserve"> and instead </w:t>
      </w:r>
      <w:r>
        <w:rPr>
          <w:rFonts w:eastAsiaTheme="minorEastAsia"/>
        </w:rPr>
        <w:t xml:space="preserve">of </w:t>
      </w:r>
      <w:r w:rsidRPr="00C53B80">
        <w:rPr>
          <w:rFonts w:eastAsiaTheme="minorEastAsia"/>
        </w:rPr>
        <w:t xml:space="preserve">the total rate contribution </w:t>
      </w:r>
      <w:r w:rsidRPr="00C53B80">
        <w:rPr>
          <w:rFonts w:eastAsiaTheme="minorEastAsia"/>
          <w:i/>
        </w:rPr>
        <w:t>r</w:t>
      </w:r>
      <w:r w:rsidRPr="00C53B80">
        <w:rPr>
          <w:rFonts w:eastAsiaTheme="minorEastAsia"/>
        </w:rPr>
        <w:t xml:space="preserve"> </w:t>
      </w:r>
      <w:r w:rsidRPr="00C53B80">
        <w:t xml:space="preserve">the channel busy ratio </w:t>
      </w:r>
      <w:r w:rsidRPr="00C53B80">
        <w:rPr>
          <w:i/>
        </w:rPr>
        <w:t xml:space="preserve">CBR </w:t>
      </w:r>
      <w:r w:rsidRPr="00C53B80">
        <w:t>which is the measured channel load, was used. This results in equation </w:t>
      </w:r>
      <w:r>
        <w:fldChar w:fldCharType="begin"/>
      </w:r>
      <w:r w:rsidRPr="00C53B80">
        <w:instrText xml:space="preserve"> REF EQ_rj_CBR_LIMERIC \h </w:instrText>
      </w:r>
      <w:r>
        <w:fldChar w:fldCharType="separate"/>
      </w:r>
      <w:r>
        <w:rPr>
          <w:noProof/>
        </w:rPr>
        <w:t>45</w:t>
      </w:r>
      <w:r>
        <w:fldChar w:fldCharType="end"/>
      </w:r>
      <w:r w:rsidRPr="00C53B80">
        <w:t>.</w:t>
      </w:r>
    </w:p>
    <w:p w14:paraId="3EE15202" w14:textId="77777777" w:rsidR="00D83CEF" w:rsidRPr="00445DD4" w:rsidRDefault="00D83CEF" w:rsidP="00D83CEF">
      <w:pPr>
        <w:pStyle w:val="EQ"/>
      </w:pPr>
      <w:r>
        <w:tab/>
      </w:r>
      <m:oMath>
        <m:sSub>
          <m:sSubPr>
            <m:ctrlPr>
              <w:rPr>
                <w:rFonts w:ascii="Cambria Math" w:hAnsi="Cambria Math"/>
              </w:rPr>
            </m:ctrlPr>
          </m:sSubPr>
          <m:e>
            <m:r>
              <w:rPr>
                <w:rFonts w:ascii="Cambria Math" w:hAnsi="Cambria Math"/>
              </w:rPr>
              <m:t>r</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j</m:t>
            </m:r>
          </m:sub>
        </m:sSub>
        <m:d>
          <m:dPr>
            <m:ctrlPr>
              <w:rPr>
                <w:rFonts w:ascii="Cambria Math" w:hAnsi="Cambria Math"/>
              </w:rPr>
            </m:ctrlPr>
          </m:dPr>
          <m:e>
            <m:r>
              <w:rPr>
                <w:rFonts w:ascii="Cambria Math" w:hAnsi="Cambria Math"/>
              </w:rPr>
              <m:t>t</m:t>
            </m:r>
            <m:r>
              <m:rPr>
                <m:sty m:val="p"/>
              </m:rPr>
              <w:rPr>
                <w:rFonts w:ascii="Cambria Math" w:hAnsi="Cambria Math"/>
              </w:rPr>
              <m:t>-τ</m:t>
            </m:r>
          </m:e>
        </m:d>
        <m:r>
          <m:rPr>
            <m:sty m:val="p"/>
          </m:rPr>
          <w:rPr>
            <w:rFonts w:ascii="Cambria Math" w:hAnsi="Cambria Math"/>
          </w:rPr>
          <m:t>+</m:t>
        </m:r>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r>
              <w:rPr>
                <w:rFonts w:ascii="Cambria Math" w:hAnsi="Cambria Math"/>
              </w:rPr>
              <m:t>CBR</m:t>
            </m:r>
            <m:d>
              <m:dPr>
                <m:ctrlPr>
                  <w:rPr>
                    <w:rFonts w:ascii="Cambria Math" w:hAnsi="Cambria Math"/>
                  </w:rPr>
                </m:ctrlPr>
              </m:dPr>
              <m:e>
                <m:r>
                  <w:rPr>
                    <w:rFonts w:ascii="Cambria Math" w:hAnsi="Cambria Math"/>
                  </w:rPr>
                  <m:t>t</m:t>
                </m:r>
                <m:r>
                  <m:rPr>
                    <m:sty m:val="p"/>
                  </m:rPr>
                  <w:rPr>
                    <w:rFonts w:ascii="Cambria Math" w:hAnsi="Cambria Math"/>
                  </w:rPr>
                  <m:t>-τ</m:t>
                </m:r>
              </m:e>
            </m:d>
          </m:e>
        </m:d>
      </m:oMath>
      <w:r>
        <w:tab/>
      </w:r>
      <w:r w:rsidRPr="00445DD4">
        <w:t>(</w:t>
      </w:r>
      <w:bookmarkStart w:id="365" w:name="EQ_rj_CBR_LIMERIC"/>
      <w:r w:rsidRPr="00445DD4">
        <w:fldChar w:fldCharType="begin"/>
      </w:r>
      <w:r w:rsidRPr="00445DD4">
        <w:instrText xml:space="preserve"> SEQ Eq \* MERGEFORMAT </w:instrText>
      </w:r>
      <w:r w:rsidRPr="00445DD4">
        <w:fldChar w:fldCharType="separate"/>
      </w:r>
      <w:r>
        <w:t>45</w:t>
      </w:r>
      <w:r w:rsidRPr="00445DD4">
        <w:fldChar w:fldCharType="end"/>
      </w:r>
      <w:bookmarkEnd w:id="365"/>
      <w:r w:rsidRPr="00445DD4">
        <w:t>)</w:t>
      </w:r>
    </w:p>
    <w:p w14:paraId="6513DA63" w14:textId="77777777" w:rsidR="00D83CEF" w:rsidRDefault="00D83CEF" w:rsidP="00D83CEF">
      <w:r w:rsidRPr="00C53B80">
        <w:t xml:space="preserve">This notation has the advantage that it directly uses the measured </w:t>
      </w:r>
      <w:r w:rsidRPr="00C53B80">
        <w:rPr>
          <w:i/>
        </w:rPr>
        <w:t>CBR</w:t>
      </w:r>
      <w:r w:rsidRPr="00C53B80">
        <w:t xml:space="preserve"> and that the channel load is limited to </w:t>
      </w:r>
      <w:r w:rsidRPr="00C53B80">
        <w:rPr>
          <w:i/>
        </w:rPr>
        <w:t>CBR</w:t>
      </w:r>
      <w:r w:rsidRPr="00C53B80">
        <w:rPr>
          <w:i/>
          <w:vertAlign w:val="subscript"/>
        </w:rPr>
        <w:t>target</w:t>
      </w:r>
      <w:r w:rsidRPr="00C53B80">
        <w:t xml:space="preserve"> independent of </w:t>
      </w:r>
      <w:r w:rsidRPr="00C53B80">
        <w:rPr>
          <w:i/>
        </w:rPr>
        <w:t>T</w:t>
      </w:r>
      <w:r w:rsidRPr="00C53B80">
        <w:rPr>
          <w:i/>
          <w:vertAlign w:val="subscript"/>
        </w:rPr>
        <w:t>on</w:t>
      </w:r>
      <w:r w:rsidRPr="00C53B80">
        <w:t xml:space="preserve">. Since the message rate is controlled, the channel utilization of each node still depends on </w:t>
      </w:r>
      <w:r w:rsidRPr="00C53B80">
        <w:rPr>
          <w:i/>
        </w:rPr>
        <w:t>T</w:t>
      </w:r>
      <w:r w:rsidRPr="00C53B80">
        <w:rPr>
          <w:i/>
          <w:vertAlign w:val="subscript"/>
        </w:rPr>
        <w:t>on</w:t>
      </w:r>
      <w:r>
        <w:t>:</w:t>
      </w:r>
    </w:p>
    <w:p w14:paraId="45ADE2A1" w14:textId="77777777" w:rsidR="00D83CEF" w:rsidRPr="00445DD4" w:rsidRDefault="00D83CEF" w:rsidP="00D83CEF">
      <w:pPr>
        <w:pStyle w:val="EQ"/>
      </w:pPr>
      <w:r>
        <w:tab/>
      </w:r>
      <m:oMath>
        <m:r>
          <w:rPr>
            <w:rFonts w:ascii="Cambria Math" w:hAnsi="Cambria Math"/>
          </w:rPr>
          <m:t>u=</m:t>
        </m:r>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oMath>
      <w:r>
        <w:rPr>
          <w:rFonts w:eastAsiaTheme="minorEastAsia"/>
        </w:rPr>
        <w:t>.</w:t>
      </w:r>
      <w:r>
        <w:tab/>
      </w:r>
      <w:r w:rsidRPr="00445DD4">
        <w:t>(</w:t>
      </w:r>
      <w:bookmarkStart w:id="366" w:name="EQ_u_adaptive"/>
      <w:r w:rsidRPr="00445DD4">
        <w:fldChar w:fldCharType="begin"/>
      </w:r>
      <w:r w:rsidRPr="00445DD4">
        <w:instrText xml:space="preserve"> SEQ Eq \* MERGEFORMAT </w:instrText>
      </w:r>
      <w:r w:rsidRPr="00445DD4">
        <w:fldChar w:fldCharType="separate"/>
      </w:r>
      <w:r>
        <w:t>46</w:t>
      </w:r>
      <w:r w:rsidRPr="00445DD4">
        <w:fldChar w:fldCharType="end"/>
      </w:r>
      <w:bookmarkEnd w:id="366"/>
      <w:r w:rsidRPr="00445DD4">
        <w:t>)</w:t>
      </w:r>
    </w:p>
    <w:p w14:paraId="3ADC0C16" w14:textId="77777777" w:rsidR="00D83CEF" w:rsidRDefault="00D83CEF" w:rsidP="00D83CEF">
      <w:r>
        <w:t>Consequently, from equation </w:t>
      </w:r>
      <w:r>
        <w:fldChar w:fldCharType="begin"/>
      </w:r>
      <w:r>
        <w:instrText xml:space="preserve"> REF EQ_u_adaptive \h </w:instrText>
      </w:r>
      <w:r>
        <w:fldChar w:fldCharType="separate"/>
      </w:r>
      <w:r>
        <w:rPr>
          <w:noProof/>
        </w:rPr>
        <w:t>46</w:t>
      </w:r>
      <w:r>
        <w:fldChar w:fldCharType="end"/>
      </w:r>
      <w:r>
        <w:t xml:space="preserve"> follows in equation </w:t>
      </w:r>
      <w:r>
        <w:fldChar w:fldCharType="begin"/>
      </w:r>
      <w:r>
        <w:instrText xml:space="preserve"> REF EQ_CL_adaptive \h </w:instrText>
      </w:r>
      <w:r>
        <w:fldChar w:fldCharType="separate"/>
      </w:r>
      <w:r>
        <w:rPr>
          <w:noProof/>
        </w:rPr>
        <w:t>47</w:t>
      </w:r>
      <w:r>
        <w:fldChar w:fldCharType="end"/>
      </w:r>
      <w:r w:rsidRPr="00D93826">
        <w:rPr>
          <w:i/>
        </w:rPr>
        <w:t xml:space="preserve"> </w:t>
      </w:r>
      <w:r>
        <w:t xml:space="preserve">with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the channel load</w:t>
      </w:r>
    </w:p>
    <w:p w14:paraId="26C87A6A" w14:textId="77777777" w:rsidR="00D83CEF" w:rsidRPr="00445DD4" w:rsidRDefault="00D83CEF" w:rsidP="00D83CEF">
      <w:pPr>
        <w:pStyle w:val="EQ"/>
      </w:pPr>
      <w:r>
        <w:tab/>
      </w:r>
      <m:oMath>
        <m:sSub>
          <m:sSubPr>
            <m:ctrlPr>
              <w:rPr>
                <w:rFonts w:ascii="Cambria Math" w:hAnsi="Cambria Math"/>
                <w:i/>
              </w:rPr>
            </m:ctrlPr>
          </m:sSubPr>
          <m:e>
            <m:r>
              <w:rPr>
                <w:rFonts w:ascii="Cambria Math" w:hAnsi="Cambria Math"/>
              </w:rPr>
              <m:t>CL</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oMath>
      <w:r>
        <w:rPr>
          <w:rFonts w:eastAsiaTheme="minorEastAsia"/>
        </w:rPr>
        <w:t>.</w:t>
      </w:r>
      <w:r>
        <w:tab/>
      </w:r>
      <w:r w:rsidRPr="00445DD4">
        <w:t>(</w:t>
      </w:r>
      <w:bookmarkStart w:id="367" w:name="EQ_CL_adaptive"/>
      <w:r w:rsidRPr="00445DD4">
        <w:fldChar w:fldCharType="begin"/>
      </w:r>
      <w:r w:rsidRPr="00445DD4">
        <w:instrText xml:space="preserve"> SEQ Eq \* MERGEFORMAT </w:instrText>
      </w:r>
      <w:r w:rsidRPr="00445DD4">
        <w:fldChar w:fldCharType="separate"/>
      </w:r>
      <w:r>
        <w:t>47</w:t>
      </w:r>
      <w:r w:rsidRPr="00445DD4">
        <w:fldChar w:fldCharType="end"/>
      </w:r>
      <w:bookmarkEnd w:id="367"/>
      <w:r w:rsidRPr="00445DD4">
        <w:t>)</w:t>
      </w:r>
    </w:p>
    <w:p w14:paraId="740D06DA" w14:textId="77777777" w:rsidR="00D83CEF" w:rsidRDefault="00D83CEF" w:rsidP="00D83CEF">
      <w:r>
        <w:t xml:space="preserve">Assuming that the </w:t>
      </w:r>
      <w:r w:rsidRPr="000623FF">
        <w:rPr>
          <w:i/>
        </w:rPr>
        <w:t>CL</w:t>
      </w:r>
      <w:r>
        <w:t xml:space="preserve"> is equal to the measured </w:t>
      </w:r>
      <w:r w:rsidRPr="000623FF">
        <w:rPr>
          <w:i/>
        </w:rPr>
        <w:t>CBR</w:t>
      </w:r>
      <w:r>
        <w:t xml:space="preserve"> and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j</m:t>
                </m:r>
              </m:sub>
            </m:sSub>
          </m:e>
        </m:ac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j</m:t>
            </m:r>
          </m:sub>
        </m:sSub>
        <m:d>
          <m:dPr>
            <m:ctrlPr>
              <w:rPr>
                <w:rFonts w:ascii="Cambria Math" w:hAnsi="Cambria Math"/>
                <w:i/>
              </w:rPr>
            </m:ctrlPr>
          </m:dPr>
          <m:e>
            <m:r>
              <w:rPr>
                <w:rFonts w:ascii="Cambria Math" w:hAnsi="Cambria Math"/>
              </w:rPr>
              <m:t>t-τ</m:t>
            </m:r>
          </m:e>
        </m:d>
      </m:oMath>
      <w:r>
        <w:t xml:space="preserve"> the equilibrium rate </w:t>
      </w:r>
      <w:bookmarkStart w:id="368" w:name="_Hlk193209548"/>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j</m:t>
                </m:r>
              </m:sub>
            </m:sSub>
          </m:e>
        </m:acc>
      </m:oMath>
      <w:bookmarkEnd w:id="368"/>
      <w:r>
        <w:t xml:space="preserve"> can be calculated from equation </w:t>
      </w:r>
      <w:r>
        <w:fldChar w:fldCharType="begin"/>
      </w:r>
      <w:r>
        <w:instrText xml:space="preserve"> REF EQ_r_equilibrium \h </w:instrText>
      </w:r>
      <w:r>
        <w:fldChar w:fldCharType="separate"/>
      </w:r>
      <w:r>
        <w:rPr>
          <w:noProof/>
        </w:rPr>
        <w:t>48</w:t>
      </w:r>
      <w:r>
        <w:fldChar w:fldCharType="end"/>
      </w:r>
      <w:r>
        <w:t>.</w:t>
      </w:r>
    </w:p>
    <w:p w14:paraId="32CCCAF0" w14:textId="77777777" w:rsidR="00D83CEF" w:rsidRDefault="00D83CEF" w:rsidP="00D83CEF">
      <w:pPr>
        <w:pStyle w:val="MTDisplayEquation"/>
        <w:rPr>
          <w:lang w:val="en-GB"/>
        </w:rPr>
      </w:pPr>
      <w:r>
        <w:rPr>
          <w:lang w:val="en-GB"/>
        </w:rPr>
        <w:tab/>
      </w:r>
      <m:oMath>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j</m:t>
                </m:r>
              </m:sub>
            </m:sSub>
          </m:e>
        </m:acc>
        <m:r>
          <w:rPr>
            <w:rFonts w:ascii="Cambria Math" w:hAnsi="Cambria Math"/>
            <w:lang w:val="en-GB"/>
          </w:rPr>
          <m:t>=</m:t>
        </m:r>
        <m:d>
          <m:dPr>
            <m:ctrlPr>
              <w:rPr>
                <w:rFonts w:ascii="Cambria Math" w:hAnsi="Cambria Math"/>
                <w:i/>
                <w:lang w:val="en-GB"/>
              </w:rPr>
            </m:ctrlPr>
          </m:dPr>
          <m:e>
            <m:r>
              <w:rPr>
                <w:rFonts w:ascii="Cambria Math" w:hAnsi="Cambria Math"/>
                <w:lang w:val="en-GB"/>
              </w:rPr>
              <m:t>1-∝</m:t>
            </m:r>
          </m:e>
        </m:d>
        <m:r>
          <w:rPr>
            <w:rFonts w:ascii="Cambria Math" w:hAnsi="Cambria Math"/>
            <w:lang w:val="en-GB"/>
          </w:rPr>
          <m:t>×</m:t>
        </m:r>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j</m:t>
                </m:r>
              </m:sub>
            </m:sSub>
          </m:e>
        </m:acc>
        <m:r>
          <w:rPr>
            <w:rFonts w:ascii="Cambria Math" w:hAnsi="Cambria Math"/>
            <w:lang w:val="en-GB"/>
          </w:rPr>
          <m:t>+β×</m:t>
        </m:r>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CBR</m:t>
                </m:r>
              </m:e>
              <m:sub>
                <m:r>
                  <w:rPr>
                    <w:rFonts w:ascii="Cambria Math" w:hAnsi="Cambria Math"/>
                    <w:lang w:val="en-GB"/>
                  </w:rPr>
                  <m:t>target</m:t>
                </m:r>
              </m:sub>
            </m:sSub>
            <m:r>
              <w:rPr>
                <w:rFonts w:ascii="Cambria Math" w:hAnsi="Cambria Math"/>
                <w:lang w:val="en-GB"/>
              </w:rPr>
              <m:t>-</m:t>
            </m:r>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j</m:t>
                    </m:r>
                  </m:sub>
                </m:sSub>
              </m:e>
            </m:acc>
            <m:r>
              <w:rPr>
                <w:rFonts w:ascii="Cambria Math" w:hAnsi="Cambria Math"/>
                <w:lang w:val="en-GB"/>
              </w:rPr>
              <m:t>×N×</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on</m:t>
                </m:r>
              </m:sub>
            </m:sSub>
          </m:e>
        </m:d>
      </m:oMath>
      <w:r>
        <w:rPr>
          <w:lang w:val="en-GB"/>
        </w:rPr>
        <w:tab/>
      </w:r>
      <w:r w:rsidRPr="00445DD4">
        <w:rPr>
          <w:lang w:val="en-GB"/>
        </w:rPr>
        <w:t>(</w:t>
      </w:r>
      <w:bookmarkStart w:id="369" w:name="EQ_r_equilibrium"/>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48</w:t>
      </w:r>
      <w:r w:rsidRPr="00BA4315">
        <w:rPr>
          <w:rFonts w:ascii="Times New Roman" w:eastAsia="Times New Roman" w:hAnsi="Times New Roman" w:cs="Times New Roman"/>
          <w:noProof/>
          <w:sz w:val="20"/>
          <w:szCs w:val="20"/>
          <w:lang w:val="en-GB"/>
        </w:rPr>
        <w:fldChar w:fldCharType="end"/>
      </w:r>
      <w:bookmarkEnd w:id="369"/>
      <w:r w:rsidRPr="00445DD4">
        <w:rPr>
          <w:lang w:val="en-GB"/>
        </w:rPr>
        <w:t>)</w:t>
      </w:r>
    </w:p>
    <w:p w14:paraId="759228AF" w14:textId="77777777" w:rsidR="00D83CEF" w:rsidRPr="00445DD4" w:rsidRDefault="00D83CEF" w:rsidP="00D83CEF">
      <w:pPr>
        <w:pStyle w:val="MTDisplayEquation"/>
        <w:rPr>
          <w:lang w:val="en-GB"/>
        </w:rPr>
      </w:pPr>
      <w:r>
        <w:rPr>
          <w:lang w:val="en-GB"/>
        </w:rPr>
        <w:tab/>
      </w:r>
      <m:oMath>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j</m:t>
                </m:r>
              </m:sub>
            </m:sSub>
          </m:e>
        </m:acc>
        <m:r>
          <w:rPr>
            <w:rFonts w:ascii="Cambria Math" w:hAnsi="Cambria Math"/>
            <w:lang w:val="en-GB"/>
          </w:rPr>
          <m:t>=</m:t>
        </m:r>
        <m:f>
          <m:fPr>
            <m:ctrlPr>
              <w:rPr>
                <w:rFonts w:ascii="Cambria Math" w:eastAsia="Times New Roman" w:hAnsi="Cambria Math" w:cs="Times New Roman"/>
                <w:i/>
                <w:sz w:val="20"/>
                <w:szCs w:val="20"/>
                <w:lang w:val="en-GB"/>
              </w:rPr>
            </m:ctrlPr>
          </m:fPr>
          <m:num>
            <m:sSub>
              <m:sSubPr>
                <m:ctrlPr>
                  <w:rPr>
                    <w:rFonts w:ascii="Cambria Math" w:hAnsi="Cambria Math"/>
                    <w:i/>
                    <w:lang w:val="en-GB"/>
                  </w:rPr>
                </m:ctrlPr>
              </m:sSubPr>
              <m:e>
                <m:r>
                  <w:rPr>
                    <w:rFonts w:ascii="Cambria Math" w:hAnsi="Cambria Math"/>
                    <w:lang w:val="en-GB"/>
                  </w:rPr>
                  <m:t>β×CBR</m:t>
                </m:r>
              </m:e>
              <m:sub>
                <m:r>
                  <w:rPr>
                    <w:rFonts w:ascii="Cambria Math" w:hAnsi="Cambria Math"/>
                    <w:lang w:val="en-GB"/>
                  </w:rPr>
                  <m:t>target</m:t>
                </m:r>
              </m:sub>
            </m:sSub>
          </m:num>
          <m:den>
            <m:r>
              <w:rPr>
                <w:rFonts w:ascii="Cambria Math" w:hAnsi="Cambria Math"/>
              </w:rPr>
              <m:t>α+</m:t>
            </m:r>
            <m:r>
              <w:rPr>
                <w:rFonts w:ascii="Cambria Math" w:hAnsi="Cambria Math"/>
                <w:lang w:val="en-GB"/>
              </w:rPr>
              <m:t>β×N×</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on</m:t>
                </m:r>
              </m:sub>
            </m:sSub>
          </m:den>
        </m:f>
      </m:oMath>
      <w:r>
        <w:rPr>
          <w:lang w:val="en-GB"/>
        </w:rPr>
        <w:tab/>
      </w:r>
      <w:r w:rsidRPr="00445DD4">
        <w:rPr>
          <w:lang w:val="en-GB"/>
        </w:rPr>
        <w:t>(</w:t>
      </w:r>
      <w:bookmarkStart w:id="370" w:name="EQ_r_equilibrium_from_N"/>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49</w:t>
      </w:r>
      <w:r w:rsidRPr="00BA4315">
        <w:rPr>
          <w:rFonts w:ascii="Times New Roman" w:eastAsia="Times New Roman" w:hAnsi="Times New Roman" w:cs="Times New Roman"/>
          <w:noProof/>
          <w:sz w:val="20"/>
          <w:szCs w:val="20"/>
          <w:lang w:val="en-GB"/>
        </w:rPr>
        <w:fldChar w:fldCharType="end"/>
      </w:r>
      <w:bookmarkEnd w:id="370"/>
      <w:r w:rsidRPr="00445DD4">
        <w:rPr>
          <w:lang w:val="en-GB"/>
        </w:rPr>
        <w:t>)</w:t>
      </w:r>
    </w:p>
    <w:p w14:paraId="032FB711" w14:textId="77777777" w:rsidR="00D83CEF" w:rsidRDefault="00D83CEF" w:rsidP="00D83CEF">
      <w:r>
        <w:t>With equation </w:t>
      </w:r>
      <w:r>
        <w:fldChar w:fldCharType="begin"/>
      </w:r>
      <w:r>
        <w:instrText xml:space="preserve"> REF EQ_CL_adaptive \h </w:instrText>
      </w:r>
      <w:r>
        <w:fldChar w:fldCharType="separate"/>
      </w:r>
      <w:r>
        <w:rPr>
          <w:noProof/>
        </w:rPr>
        <w:t>47</w:t>
      </w:r>
      <w:r>
        <w:fldChar w:fldCharType="end"/>
      </w:r>
      <w:r>
        <w:t xml:space="preserve"> the channel load equilibrium as function of the number of nodes </w:t>
      </w:r>
      <w:r w:rsidRPr="000A46DB">
        <w:rPr>
          <w:i/>
        </w:rPr>
        <w:t>N</w:t>
      </w:r>
      <w:r>
        <w:t xml:space="preserve"> follows from equation </w:t>
      </w:r>
      <w:r>
        <w:fldChar w:fldCharType="begin"/>
      </w:r>
      <w:r>
        <w:instrText xml:space="preserve"> REF EQ_r_equilibrium_from_N \h </w:instrText>
      </w:r>
      <w:r>
        <w:fldChar w:fldCharType="separate"/>
      </w:r>
      <w:r>
        <w:rPr>
          <w:noProof/>
        </w:rPr>
        <w:t>49</w:t>
      </w:r>
      <w:r>
        <w:fldChar w:fldCharType="end"/>
      </w:r>
    </w:p>
    <w:p w14:paraId="588EB375" w14:textId="77777777" w:rsidR="00D83CEF" w:rsidRDefault="00D83CEF" w:rsidP="00D83CEF">
      <w:pPr>
        <w:pStyle w:val="MTDisplayEquation"/>
        <w:rPr>
          <w:lang w:val="en-GB"/>
        </w:rPr>
      </w:pPr>
      <w:r>
        <w:rPr>
          <w:lang w:val="en-GB"/>
        </w:rPr>
        <w:tab/>
      </w:r>
      <m:oMath>
        <m:acc>
          <m:accPr>
            <m:chr m:val="̃"/>
            <m:ctrlPr>
              <w:rPr>
                <w:rFonts w:ascii="Cambria Math" w:hAnsi="Cambria Math"/>
                <w:i/>
                <w:lang w:val="en-GB"/>
              </w:rPr>
            </m:ctrlPr>
          </m:accPr>
          <m:e>
            <m:sSub>
              <m:sSubPr>
                <m:ctrlPr>
                  <w:rPr>
                    <w:rFonts w:ascii="Cambria Math" w:hAnsi="Cambria Math"/>
                    <w:i/>
                    <w:lang w:val="en-GB"/>
                  </w:rPr>
                </m:ctrlPr>
              </m:sSubPr>
              <m:e>
                <m:r>
                  <w:rPr>
                    <w:rFonts w:ascii="Cambria Math" w:hAnsi="Cambria Math"/>
                    <w:lang w:val="en-GB"/>
                  </w:rPr>
                  <m:t>CL</m:t>
                </m:r>
              </m:e>
              <m:sub>
                <m:r>
                  <w:rPr>
                    <w:rFonts w:ascii="Cambria Math" w:hAnsi="Cambria Math"/>
                    <w:lang w:val="en-GB"/>
                  </w:rPr>
                  <m:t>a</m:t>
                </m:r>
              </m:sub>
            </m:sSub>
          </m:e>
        </m:acc>
        <m:r>
          <w:rPr>
            <w:rFonts w:ascii="Cambria Math" w:hAnsi="Cambria Math"/>
            <w:lang w:val="en-GB"/>
          </w:rPr>
          <m:t>=</m:t>
        </m:r>
        <m:f>
          <m:fPr>
            <m:ctrlPr>
              <w:rPr>
                <w:rFonts w:ascii="Cambria Math" w:eastAsia="Times New Roman" w:hAnsi="Cambria Math" w:cs="Times New Roman"/>
                <w:i/>
                <w:sz w:val="20"/>
                <w:szCs w:val="20"/>
                <w:lang w:val="en-GB"/>
              </w:rPr>
            </m:ctrlPr>
          </m:fPr>
          <m:num>
            <m:r>
              <w:rPr>
                <w:rFonts w:ascii="Cambria Math" w:hAnsi="Cambria Math"/>
                <w:lang w:val="en-GB"/>
              </w:rPr>
              <m:t>β×N×</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on</m:t>
                </m:r>
              </m:sub>
            </m:sSub>
          </m:num>
          <m:den>
            <m:r>
              <w:rPr>
                <w:rFonts w:ascii="Cambria Math" w:hAnsi="Cambria Math"/>
              </w:rPr>
              <m:t>α+</m:t>
            </m:r>
            <m:r>
              <w:rPr>
                <w:rFonts w:ascii="Cambria Math" w:hAnsi="Cambria Math"/>
                <w:lang w:val="en-GB"/>
              </w:rPr>
              <m:t>β×N×</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on</m:t>
                </m:r>
              </m:sub>
            </m:sSub>
          </m:den>
        </m:f>
        <m:r>
          <w:rPr>
            <w:rFonts w:ascii="Cambria Math" w:hAnsi="Cambria Math"/>
          </w:rPr>
          <m:t>×</m:t>
        </m:r>
        <m:sSub>
          <m:sSubPr>
            <m:ctrlPr>
              <w:rPr>
                <w:rFonts w:ascii="Cambria Math" w:eastAsia="Times New Roman" w:hAnsi="Cambria Math" w:cs="Times New Roman"/>
                <w:i/>
                <w:sz w:val="20"/>
                <w:szCs w:val="20"/>
                <w:lang w:val="en-GB"/>
              </w:rPr>
            </m:ctrlPr>
          </m:sSubPr>
          <m:e>
            <m:r>
              <w:rPr>
                <w:rFonts w:ascii="Cambria Math" w:hAnsi="Cambria Math"/>
              </w:rPr>
              <m:t>CBR</m:t>
            </m:r>
          </m:e>
          <m:sub>
            <m:r>
              <w:rPr>
                <w:rFonts w:ascii="Cambria Math" w:hAnsi="Cambria Math"/>
              </w:rPr>
              <m:t>target</m:t>
            </m:r>
          </m:sub>
        </m:sSub>
      </m:oMath>
      <w:r>
        <w:rPr>
          <w:rFonts w:eastAsiaTheme="minorEastAsia"/>
          <w:sz w:val="20"/>
          <w:szCs w:val="20"/>
          <w:lang w:val="en-GB"/>
        </w:rPr>
        <w:t>.</w:t>
      </w:r>
      <w:r>
        <w:rPr>
          <w:lang w:val="en-GB"/>
        </w:rPr>
        <w:tab/>
      </w:r>
      <w:r w:rsidRPr="00445DD4">
        <w:rPr>
          <w:lang w:val="en-GB"/>
        </w:rPr>
        <w:t>(</w:t>
      </w:r>
      <w:bookmarkStart w:id="371" w:name="EQ_CBR_LIMERIC"/>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50</w:t>
      </w:r>
      <w:r w:rsidRPr="00BA4315">
        <w:rPr>
          <w:rFonts w:ascii="Times New Roman" w:eastAsia="Times New Roman" w:hAnsi="Times New Roman" w:cs="Times New Roman"/>
          <w:noProof/>
          <w:sz w:val="20"/>
          <w:szCs w:val="20"/>
          <w:lang w:val="en-GB"/>
        </w:rPr>
        <w:fldChar w:fldCharType="end"/>
      </w:r>
      <w:bookmarkEnd w:id="371"/>
      <w:r w:rsidRPr="00445DD4">
        <w:rPr>
          <w:lang w:val="en-GB"/>
        </w:rPr>
        <w:t>)</w:t>
      </w:r>
    </w:p>
    <w:p w14:paraId="758776C1" w14:textId="77777777" w:rsidR="00D83CEF" w:rsidRPr="00C53B80" w:rsidRDefault="00D83CEF" w:rsidP="00D83CEF">
      <w:r w:rsidRPr="00C53B80">
        <w:t xml:space="preserve">The target channel load </w:t>
      </w:r>
      <w:r w:rsidRPr="00C53B80">
        <w:rPr>
          <w:i/>
        </w:rPr>
        <w:t>CBR</w:t>
      </w:r>
      <w:r w:rsidRPr="00C53B80">
        <w:rPr>
          <w:i/>
          <w:vertAlign w:val="subscript"/>
        </w:rPr>
        <w:t>target</w:t>
      </w:r>
      <w:r w:rsidRPr="00C53B80">
        <w:t xml:space="preserve"> is reached asymptotically for an infinite number of nodes </w:t>
      </w:r>
      <w:r w:rsidRPr="00C53B80">
        <w:rPr>
          <w:i/>
        </w:rPr>
        <w:t>N</w:t>
      </w:r>
      <w:r w:rsidRPr="00C53B80">
        <w:t xml:space="preserve"> as </w:t>
      </w:r>
      <w:r>
        <w:t>follows from</w:t>
      </w:r>
      <w:r w:rsidRPr="00C53B80">
        <w:t xml:space="preserve"> equation </w:t>
      </w:r>
      <w:r>
        <w:fldChar w:fldCharType="begin"/>
      </w:r>
      <w:r w:rsidRPr="00C53B80">
        <w:instrText xml:space="preserve"> REF EQ_CBR_LIMERIC \h </w:instrText>
      </w:r>
      <w:r>
        <w:fldChar w:fldCharType="separate"/>
      </w:r>
      <w:r>
        <w:rPr>
          <w:noProof/>
        </w:rPr>
        <w:t>50</w:t>
      </w:r>
      <w:r>
        <w:fldChar w:fldCharType="end"/>
      </w:r>
      <w:r w:rsidRPr="00C53B80">
        <w:t>.</w:t>
      </w:r>
    </w:p>
    <w:p w14:paraId="68E3C67E" w14:textId="1804A253" w:rsidR="00D83CEF" w:rsidRDefault="00D83CEF" w:rsidP="00D83CEF">
      <w:r>
        <w:t>As an example</w:t>
      </w:r>
      <w:r w:rsidRPr="00A83239">
        <w:t>,</w:t>
      </w:r>
      <w:r w:rsidR="00A83239" w:rsidRPr="00A83239">
        <w:t xml:space="preserve"> </w:t>
      </w:r>
      <w:r w:rsidR="00A83239" w:rsidRPr="00A83239">
        <w:fldChar w:fldCharType="begin"/>
      </w:r>
      <w:r w:rsidR="00A83239" w:rsidRPr="00A83239">
        <w:instrText xml:space="preserve"> REF _Ref197333859 \h </w:instrText>
      </w:r>
      <w:r w:rsidR="00A83239">
        <w:instrText xml:space="preserve"> \* MERGEFORMAT </w:instrText>
      </w:r>
      <w:r w:rsidR="00A83239" w:rsidRPr="00A83239">
        <w:fldChar w:fldCharType="separate"/>
      </w:r>
      <w:r w:rsidR="00A83239" w:rsidRPr="00A83239">
        <w:t xml:space="preserve">Figure </w:t>
      </w:r>
      <w:r w:rsidR="00A83239" w:rsidRPr="00A83239">
        <w:rPr>
          <w:noProof/>
        </w:rPr>
        <w:t>32</w:t>
      </w:r>
      <w:r w:rsidR="00A83239" w:rsidRPr="00A83239">
        <w:fldChar w:fldCharType="end"/>
      </w:r>
      <w:r w:rsidR="00A83239">
        <w:t>,</w:t>
      </w:r>
      <w:r w:rsidRPr="00A83239">
        <w:fldChar w:fldCharType="begin"/>
      </w:r>
      <w:r w:rsidRPr="00A83239">
        <w:instrText xml:space="preserve"> REF _Ref193288134 \h </w:instrText>
      </w:r>
      <w:r w:rsidR="00A83239">
        <w:instrText xml:space="preserve"> \* MERGEFORMAT </w:instrText>
      </w:r>
      <w:r w:rsidRPr="00A83239">
        <w:fldChar w:fldCharType="end"/>
      </w:r>
      <w:r w:rsidRPr="00C53B80">
        <w:t xml:space="preserve"> shows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C53B80">
        <w:t xml:space="preserve"> as function of the node number </w:t>
      </w:r>
      <w:r w:rsidRPr="00C53B80">
        <w:rPr>
          <w:i/>
        </w:rPr>
        <w:t>N</w:t>
      </w:r>
      <w:r w:rsidRPr="00C53B80">
        <w:t xml:space="preserve"> </w:t>
      </w:r>
      <w:r>
        <w:t xml:space="preserve">and the </w:t>
      </w:r>
      <w:r w:rsidRPr="0000234C">
        <w:rPr>
          <w:i/>
        </w:rPr>
        <w:t>T</w:t>
      </w:r>
      <w:r w:rsidRPr="0000234C">
        <w:rPr>
          <w:i/>
          <w:vertAlign w:val="subscript"/>
        </w:rPr>
        <w:t>o</w:t>
      </w:r>
      <w:r>
        <w:rPr>
          <w:i/>
          <w:vertAlign w:val="subscript"/>
        </w:rPr>
        <w:t>n</w:t>
      </w:r>
      <w:r>
        <w:t xml:space="preserve"> time as coloured solid lines</w:t>
      </w:r>
      <w:r w:rsidRPr="00C53B80">
        <w:t xml:space="preserve"> </w:t>
      </w:r>
      <w:r>
        <w:t>for the parameter values given in Table 3 of [</w:t>
      </w:r>
      <w:r w:rsidRPr="00436A20">
        <w:t>ETSI</w:t>
      </w:r>
      <w:r>
        <w:t> </w:t>
      </w:r>
      <w:r w:rsidRPr="00436A20">
        <w:t>TS</w:t>
      </w:r>
      <w:r>
        <w:t> </w:t>
      </w:r>
      <w:r w:rsidRPr="00436A20">
        <w:t>102</w:t>
      </w:r>
      <w:r>
        <w:t> </w:t>
      </w:r>
      <w:r w:rsidRPr="00436A20">
        <w:t>687</w:t>
      </w:r>
      <w:r>
        <w:t> </w:t>
      </w:r>
      <w:r w:rsidRPr="00436A20">
        <w:t>V1.2.1</w:t>
      </w:r>
      <w:r>
        <w:t>]</w:t>
      </w:r>
      <w:r w:rsidRPr="00C53B80">
        <w:t xml:space="preserv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 xml:space="preserve"> </w:t>
      </w:r>
      <w:r w:rsidRPr="00C53B80">
        <w:t xml:space="preserve">does not exceed the CBR DCC limit specified in </w:t>
      </w:r>
      <w:r>
        <w:t>[</w:t>
      </w:r>
      <w:r w:rsidRPr="00436A20">
        <w:t>ETSI</w:t>
      </w:r>
      <w:r>
        <w:t> </w:t>
      </w:r>
      <w:r w:rsidRPr="00F84064">
        <w:t>EN</w:t>
      </w:r>
      <w:r>
        <w:t> </w:t>
      </w:r>
      <w:r w:rsidRPr="00F84064">
        <w:t>303</w:t>
      </w:r>
      <w:r>
        <w:t> </w:t>
      </w:r>
      <w:r w:rsidRPr="00F84064">
        <w:t>797</w:t>
      </w:r>
      <w:r>
        <w:t> </w:t>
      </w:r>
      <w:r w:rsidRPr="00F84064">
        <w:t>V2.1.1</w:t>
      </w:r>
      <w:r>
        <w:t xml:space="preserve">] </w:t>
      </w:r>
      <w:r w:rsidRPr="00C53B80">
        <w:t>(</w:t>
      </w:r>
      <w:r>
        <w:t>dotted</w:t>
      </w:r>
      <w:r w:rsidRPr="00C53B80">
        <w:t xml:space="preserve"> line), but for a small number of nodes</w:t>
      </w:r>
      <w:r>
        <w:t xml:space="preserve"> and short </w:t>
      </w:r>
      <w:r w:rsidRPr="0000234C">
        <w:rPr>
          <w:i/>
        </w:rPr>
        <w:t>T</w:t>
      </w:r>
      <w:r w:rsidRPr="0000234C">
        <w:rPr>
          <w:i/>
          <w:vertAlign w:val="subscript"/>
        </w:rPr>
        <w:t>o</w:t>
      </w:r>
      <w:r>
        <w:rPr>
          <w:i/>
          <w:vertAlign w:val="subscript"/>
        </w:rPr>
        <w:t>n</w:t>
      </w:r>
      <w:r>
        <w:t xml:space="preserve"> times</w:t>
      </w:r>
      <w:r w:rsidRPr="00C53B80">
        <w:t xml:space="preserve"> the channel is underutilized.</w:t>
      </w:r>
    </w:p>
    <w:p w14:paraId="699EE457" w14:textId="04D4172F" w:rsidR="00A83239" w:rsidRDefault="00A83239" w:rsidP="00A83239">
      <w:pPr>
        <w:pStyle w:val="FL"/>
      </w:pPr>
      <w:r w:rsidRPr="0000234C">
        <w:rPr>
          <w:noProof/>
        </w:rPr>
        <w:drawing>
          <wp:inline distT="0" distB="0" distL="0" distR="0" wp14:anchorId="6AD726F6" wp14:editId="5AFEA353">
            <wp:extent cx="4464000" cy="2374900"/>
            <wp:effectExtent l="0" t="0" r="0" b="6350"/>
            <wp:docPr id="4099658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787" t="11794" r="1452" b="1566"/>
                    <a:stretch/>
                  </pic:blipFill>
                  <pic:spPr bwMode="auto">
                    <a:xfrm>
                      <a:off x="0" y="0"/>
                      <a:ext cx="4473192" cy="2379790"/>
                    </a:xfrm>
                    <a:prstGeom prst="rect">
                      <a:avLst/>
                    </a:prstGeom>
                    <a:noFill/>
                    <a:ln>
                      <a:noFill/>
                    </a:ln>
                    <a:extLst>
                      <a:ext uri="{53640926-AAD7-44D8-BBD7-CCE9431645EC}">
                        <a14:shadowObscured xmlns:a14="http://schemas.microsoft.com/office/drawing/2010/main"/>
                      </a:ext>
                    </a:extLst>
                  </pic:spPr>
                </pic:pic>
              </a:graphicData>
            </a:graphic>
          </wp:inline>
        </w:drawing>
      </w:r>
    </w:p>
    <w:p w14:paraId="6C741B0C" w14:textId="00D57DB9" w:rsidR="00D83CEF" w:rsidRDefault="00A83239" w:rsidP="00A83239">
      <w:pPr>
        <w:pStyle w:val="Caption"/>
        <w:jc w:val="center"/>
        <w:rPr>
          <w:rFonts w:ascii="Arial" w:hAnsi="Arial" w:cs="Arial"/>
        </w:rPr>
      </w:pPr>
      <w:bookmarkStart w:id="372" w:name="_Ref197333859"/>
      <w:r w:rsidRPr="00FC5464">
        <w:rPr>
          <w:rFonts w:ascii="Arial" w:hAnsi="Arial" w:cs="Arial"/>
        </w:rPr>
        <w:t xml:space="preserve">Figure </w:t>
      </w:r>
      <w:r w:rsidRPr="00FC5464">
        <w:rPr>
          <w:rFonts w:ascii="Arial" w:hAnsi="Arial" w:cs="Arial"/>
        </w:rPr>
        <w:fldChar w:fldCharType="begin"/>
      </w:r>
      <w:r w:rsidRPr="00FC5464">
        <w:rPr>
          <w:rFonts w:ascii="Arial" w:hAnsi="Arial" w:cs="Arial"/>
        </w:rPr>
        <w:instrText xml:space="preserve"> SEQ Figure \* ARABIC </w:instrText>
      </w:r>
      <w:r w:rsidRPr="00FC5464">
        <w:rPr>
          <w:rFonts w:ascii="Arial" w:hAnsi="Arial" w:cs="Arial"/>
        </w:rPr>
        <w:fldChar w:fldCharType="separate"/>
      </w:r>
      <w:r w:rsidRPr="00FC5464">
        <w:rPr>
          <w:rFonts w:ascii="Arial" w:hAnsi="Arial" w:cs="Arial"/>
          <w:noProof/>
        </w:rPr>
        <w:t>32</w:t>
      </w:r>
      <w:r w:rsidRPr="00FC5464">
        <w:rPr>
          <w:rFonts w:ascii="Arial" w:hAnsi="Arial" w:cs="Arial"/>
          <w:noProof/>
        </w:rPr>
        <w:fldChar w:fldCharType="end"/>
      </w:r>
      <w:bookmarkEnd w:id="372"/>
      <w:r>
        <w:rPr>
          <w:rFonts w:ascii="Arial" w:hAnsi="Arial" w:cs="Arial"/>
        </w:rPr>
        <w:tab/>
      </w:r>
      <w:bookmarkStart w:id="373" w:name="_Ref432338755"/>
      <w:r w:rsidR="00D83CEF" w:rsidRPr="00FC5464">
        <w:rPr>
          <w:rFonts w:ascii="Arial" w:hAnsi="Arial" w:cs="Arial"/>
        </w:rPr>
        <w:t>Equilibrium channel load of adaptive congestion control for the parameter values given in Table 3 of [ETSI TS 102 687 V1.2.1]</w:t>
      </w:r>
    </w:p>
    <w:p w14:paraId="39D9D5B4" w14:textId="77777777" w:rsidR="00A83239" w:rsidRPr="00A83239" w:rsidRDefault="00A83239" w:rsidP="00FC5464"/>
    <w:p w14:paraId="3D3E7CD7" w14:textId="77777777" w:rsidR="00D83CEF" w:rsidRDefault="00D83CEF" w:rsidP="00D83CEF">
      <w:pPr>
        <w:pStyle w:val="Heading3"/>
      </w:pPr>
      <w:bookmarkStart w:id="374" w:name="_Toc196916030"/>
      <w:bookmarkStart w:id="375" w:name="_Toc197337086"/>
      <w:bookmarkEnd w:id="373"/>
      <w:r>
        <w:t>C.2.2</w:t>
      </w:r>
      <w:r>
        <w:tab/>
        <w:t>Convergence of the adaptive congestion control</w:t>
      </w:r>
      <w:bookmarkEnd w:id="374"/>
      <w:bookmarkEnd w:id="375"/>
    </w:p>
    <w:p w14:paraId="21482A16" w14:textId="77777777" w:rsidR="00D83CEF" w:rsidRPr="00BB7E97" w:rsidRDefault="00D83CEF" w:rsidP="00D83CEF">
      <w:pPr>
        <w:pStyle w:val="Heading4"/>
      </w:pPr>
      <w:bookmarkStart w:id="376" w:name="_Toc196916031"/>
      <w:bookmarkStart w:id="377" w:name="_Toc197337087"/>
      <w:r>
        <w:t>C.2.2.1</w:t>
      </w:r>
      <w:r>
        <w:tab/>
        <w:t>Continuous time behaviour of the adaptive congestion control</w:t>
      </w:r>
      <w:bookmarkEnd w:id="376"/>
      <w:bookmarkEnd w:id="377"/>
    </w:p>
    <w:p w14:paraId="688349A2" w14:textId="77777777" w:rsidR="00D83CEF" w:rsidRPr="00897EEE" w:rsidRDefault="00D83CEF" w:rsidP="00D83CEF">
      <w:r w:rsidRPr="006F0F51">
        <w:t xml:space="preserve">From </w:t>
      </w:r>
      <w:r>
        <w:t>equation </w:t>
      </w:r>
      <w:r>
        <w:fldChar w:fldCharType="begin"/>
      </w:r>
      <w:r>
        <w:instrText xml:space="preserve"> REF EQ_CL_adaptive \h </w:instrText>
      </w:r>
      <w:r>
        <w:fldChar w:fldCharType="separate"/>
      </w:r>
      <w:r>
        <w:rPr>
          <w:noProof/>
        </w:rPr>
        <w:t>47</w:t>
      </w:r>
      <w:r>
        <w:fldChar w:fldCharType="end"/>
      </w:r>
      <w:r>
        <w:t xml:space="preserve"> the packet rate as function of the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t xml:space="preserve">, the number of nodes </w:t>
      </w:r>
      <m:oMath>
        <m:r>
          <w:rPr>
            <w:rFonts w:ascii="Cambria Math" w:hAnsi="Cambria Math"/>
          </w:rPr>
          <m:t>N</m:t>
        </m:r>
      </m:oMath>
      <w:r>
        <w:t xml:space="preserve">, and the packet duration </w:t>
      </w:r>
      <m:oMath>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can be derived.</w:t>
      </w:r>
    </w:p>
    <w:p w14:paraId="0FACBC2C" w14:textId="77777777" w:rsidR="00D83CEF" w:rsidRPr="00445DD4" w:rsidRDefault="00D83CEF" w:rsidP="00D83CEF">
      <w:pPr>
        <w:pStyle w:val="EQ"/>
      </w:pPr>
      <w:r>
        <w:tab/>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CL</m:t>
                </m:r>
              </m:e>
              <m:sub>
                <m:r>
                  <w:rPr>
                    <w:rFonts w:ascii="Cambria Math" w:hAnsi="Cambria Math"/>
                  </w:rPr>
                  <m:t>a</m:t>
                </m:r>
              </m:sub>
            </m:sSub>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en>
        </m:f>
      </m:oMath>
      <w:r>
        <w:tab/>
      </w:r>
      <w:r w:rsidRPr="00445DD4">
        <w:t>(</w:t>
      </w:r>
      <w:bookmarkStart w:id="378" w:name="EQ_rj_adaptive"/>
      <w:r>
        <w:fldChar w:fldCharType="begin"/>
      </w:r>
      <w:r>
        <w:instrText xml:space="preserve"> SEQ Eq \* MERGEFORMAT </w:instrText>
      </w:r>
      <w:r>
        <w:fldChar w:fldCharType="separate"/>
      </w:r>
      <w:r>
        <w:t>51</w:t>
      </w:r>
      <w:r>
        <w:fldChar w:fldCharType="end"/>
      </w:r>
      <w:bookmarkEnd w:id="378"/>
      <w:r w:rsidRPr="00445DD4">
        <w:t>)</w:t>
      </w:r>
    </w:p>
    <w:p w14:paraId="70BBA22C" w14:textId="77777777" w:rsidR="00D83CEF" w:rsidRDefault="00D83CEF" w:rsidP="00D83CEF">
      <w:pPr>
        <w:rPr>
          <w:highlight w:val="yellow"/>
        </w:rPr>
      </w:pPr>
      <w:r>
        <w:t>Substituting equation </w:t>
      </w:r>
      <w:r>
        <w:fldChar w:fldCharType="begin"/>
      </w:r>
      <w:r>
        <w:instrText xml:space="preserve"> REF EQ_rj_adaptive \h </w:instrText>
      </w:r>
      <w:r>
        <w:fldChar w:fldCharType="separate"/>
      </w:r>
      <w:r>
        <w:rPr>
          <w:noProof/>
        </w:rPr>
        <w:t>51</w:t>
      </w:r>
      <w:r>
        <w:fldChar w:fldCharType="end"/>
      </w:r>
      <w:r>
        <w:t xml:space="preserve"> into </w:t>
      </w:r>
      <w:r w:rsidRPr="00C53B80">
        <w:t>equation </w:t>
      </w:r>
      <w:r>
        <w:fldChar w:fldCharType="begin"/>
      </w:r>
      <w:r w:rsidRPr="00C53B80">
        <w:instrText xml:space="preserve"> REF EQ_rj_CBR_LIMERIC \h </w:instrText>
      </w:r>
      <w:r>
        <w:fldChar w:fldCharType="separate"/>
      </w:r>
      <w:r>
        <w:rPr>
          <w:noProof/>
        </w:rPr>
        <w:t>45</w:t>
      </w:r>
      <w:r>
        <w:fldChar w:fldCharType="end"/>
      </w:r>
      <w:r>
        <w:t xml:space="preserve"> leads to equation </w:t>
      </w:r>
      <w:r>
        <w:fldChar w:fldCharType="begin"/>
      </w:r>
      <w:r>
        <w:instrText xml:space="preserve"> REF EQ_CLa_N_Ton_adaptive \h </w:instrText>
      </w:r>
      <w:r>
        <w:fldChar w:fldCharType="separate"/>
      </w:r>
      <w:r>
        <w:rPr>
          <w:noProof/>
        </w:rPr>
        <w:t>52</w:t>
      </w:r>
      <w:r>
        <w:fldChar w:fldCharType="end"/>
      </w:r>
      <w:r>
        <w:t>.</w:t>
      </w:r>
    </w:p>
    <w:p w14:paraId="6949690B" w14:textId="77777777" w:rsidR="00D83CEF" w:rsidRPr="00445DD4" w:rsidRDefault="00D83CEF" w:rsidP="00D83CEF">
      <w:pPr>
        <w:pStyle w:val="EQ"/>
      </w:pPr>
      <w:r>
        <w:tab/>
      </w:r>
      <m:oMath>
        <m:f>
          <m:fPr>
            <m:ctrlPr>
              <w:rPr>
                <w:rFonts w:ascii="Cambria Math" w:hAnsi="Cambria Math"/>
                <w:i/>
              </w:rPr>
            </m:ctrlPr>
          </m:fPr>
          <m:num>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e>
            </m:d>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m:t>
                </m:r>
              </m:e>
            </m:d>
          </m:den>
        </m:f>
        <m:r>
          <m:rPr>
            <m:sty m:val="p"/>
          </m:rPr>
          <w:rPr>
            <w:rFonts w:ascii="Cambria Math" w:hAnsi="Cambria Math"/>
          </w:rPr>
          <m:t>=</m:t>
        </m:r>
        <m:d>
          <m:dPr>
            <m:ctrlPr>
              <w:rPr>
                <w:rFonts w:ascii="Cambria Math" w:hAnsi="Cambria Math"/>
              </w:rPr>
            </m:ctrlPr>
          </m:dPr>
          <m:e>
            <m:r>
              <m:rPr>
                <m:sty m:val="p"/>
              </m:rPr>
              <w:rPr>
                <w:rFonts w:ascii="Cambria Math" w:hAnsi="Cambria Math"/>
              </w:rPr>
              <m:t>1-∝</m:t>
            </m:r>
          </m:e>
        </m:d>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t-τ</m:t>
                </m:r>
              </m:e>
            </m:d>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t-τ</m:t>
                </m:r>
              </m:e>
            </m:d>
          </m:den>
        </m:f>
        <m:r>
          <m:rPr>
            <m:sty m:val="p"/>
          </m:rPr>
          <w:rPr>
            <w:rFonts w:ascii="Cambria Math" w:hAnsi="Cambria Math"/>
          </w:rPr>
          <m:t>+</m:t>
        </m:r>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tab/>
      </w:r>
      <w:r w:rsidRPr="00445DD4">
        <w:t>(</w:t>
      </w:r>
      <w:bookmarkStart w:id="379" w:name="EQ_CLa_N_Ton_adaptive"/>
      <w:r>
        <w:fldChar w:fldCharType="begin"/>
      </w:r>
      <w:r>
        <w:instrText xml:space="preserve"> SEQ Eq \* MERGEFORMAT </w:instrText>
      </w:r>
      <w:r>
        <w:fldChar w:fldCharType="separate"/>
      </w:r>
      <w:r>
        <w:t>52</w:t>
      </w:r>
      <w:r>
        <w:fldChar w:fldCharType="end"/>
      </w:r>
      <w:bookmarkEnd w:id="379"/>
      <w:r w:rsidRPr="00445DD4">
        <w:t>)</w:t>
      </w:r>
    </w:p>
    <w:p w14:paraId="404FBCF6" w14:textId="77777777" w:rsidR="00D83CEF" w:rsidRDefault="00D83CEF" w:rsidP="00D83CEF">
      <w:r w:rsidRPr="006F0F51">
        <w:t xml:space="preserve">For the assumption </w:t>
      </w:r>
      <w:r>
        <w:t xml:space="preserve">that the packet duration is time invariant and equal for all nodes </w:t>
      </w:r>
      <m:oMath>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d>
          <m:dPr>
            <m:ctrlPr>
              <w:rPr>
                <w:rFonts w:ascii="Cambria Math" w:hAnsi="Cambria Math"/>
              </w:rPr>
            </m:ctrlPr>
          </m:dPr>
          <m:e>
            <m:r>
              <w:rPr>
                <w:rFonts w:ascii="Cambria Math" w:hAnsi="Cambria Math"/>
              </w:rPr>
              <m:t>t-τ</m:t>
            </m:r>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equation </w:t>
      </w:r>
      <w:r>
        <w:fldChar w:fldCharType="begin"/>
      </w:r>
      <w:r>
        <w:instrText xml:space="preserve"> REF EQ_CLa_N_Ton_adaptive \h </w:instrText>
      </w:r>
      <w:r>
        <w:fldChar w:fldCharType="separate"/>
      </w:r>
      <w:r>
        <w:rPr>
          <w:noProof/>
        </w:rPr>
        <w:t>52</w:t>
      </w:r>
      <w:r>
        <w:fldChar w:fldCharType="end"/>
      </w:r>
      <w:r>
        <w:t xml:space="preserve"> can be rewritten to</w:t>
      </w:r>
    </w:p>
    <w:p w14:paraId="4E110DC5" w14:textId="77777777" w:rsidR="00D83CEF" w:rsidRPr="00445DD4" w:rsidRDefault="00D83CEF" w:rsidP="00D83CEF">
      <w:pPr>
        <w:pStyle w:val="EQ"/>
      </w:pPr>
      <w:r>
        <w:tab/>
      </w:r>
      <m:oMath>
        <m:f>
          <m:fPr>
            <m:ctrlPr>
              <w:rPr>
                <w:rFonts w:ascii="Cambria Math" w:hAnsi="Cambria Math"/>
                <w:i/>
              </w:rPr>
            </m:ctrlPr>
          </m:fPr>
          <m:num>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t-τ</m:t>
                </m:r>
              </m:e>
            </m:d>
          </m:num>
          <m:den>
            <m:r>
              <w:rPr>
                <w:rFonts w:ascii="Cambria Math" w:hAnsi="Cambria Math"/>
              </w:rPr>
              <m:t>τ</m:t>
            </m:r>
          </m:den>
        </m:f>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τ</m:t>
            </m:r>
          </m:den>
        </m:f>
        <m:r>
          <w:rPr>
            <w:rFonts w:ascii="Cambria Math" w:hAnsi="Cambria Math"/>
          </w:rPr>
          <m: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r>
              <w:rPr>
                <w:rFonts w:ascii="Cambria Math" w:hAnsi="Cambria Math"/>
              </w:rPr>
              <m:t>×</m:t>
            </m:r>
            <m:d>
              <m:dPr>
                <m:ctrlPr>
                  <w:rPr>
                    <w:rFonts w:ascii="Cambria Math" w:hAnsi="Cambria Math"/>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e>
        </m:d>
      </m:oMath>
      <w:r>
        <w:t>.</w:t>
      </w:r>
      <w:r>
        <w:tab/>
      </w:r>
      <w:r w:rsidRPr="00445DD4">
        <w:t>(</w:t>
      </w:r>
      <w:bookmarkStart w:id="380" w:name="EQ_CLa_diff"/>
      <w:r>
        <w:fldChar w:fldCharType="begin"/>
      </w:r>
      <w:r>
        <w:instrText xml:space="preserve"> SEQ Eq \* MERGEFORMAT </w:instrText>
      </w:r>
      <w:r>
        <w:fldChar w:fldCharType="separate"/>
      </w:r>
      <w:r>
        <w:t>53</w:t>
      </w:r>
      <w:r>
        <w:fldChar w:fldCharType="end"/>
      </w:r>
      <w:bookmarkEnd w:id="380"/>
      <w:r w:rsidRPr="00445DD4">
        <w:t>)</w:t>
      </w:r>
    </w:p>
    <w:p w14:paraId="7F4A27B0" w14:textId="77777777" w:rsidR="00D83CEF" w:rsidRDefault="00D83CEF" w:rsidP="00D83CEF">
      <w:pPr>
        <w:rPr>
          <w:highlight w:val="yellow"/>
        </w:rPr>
      </w:pPr>
      <w:r>
        <w:t>Equation </w:t>
      </w:r>
      <w:r>
        <w:fldChar w:fldCharType="begin"/>
      </w:r>
      <w:r>
        <w:instrText xml:space="preserve"> REF EQ_CLa_diff \h </w:instrText>
      </w:r>
      <w:r>
        <w:fldChar w:fldCharType="separate"/>
      </w:r>
      <w:r>
        <w:rPr>
          <w:noProof/>
        </w:rPr>
        <w:t>53</w:t>
      </w:r>
      <w:r>
        <w:fldChar w:fldCharType="end"/>
      </w:r>
      <w:r>
        <w:t xml:space="preserve"> can be written as differential equation for small </w:t>
      </w:r>
      <w:r w:rsidRPr="006F0F51">
        <w:rPr>
          <w:i/>
        </w:rPr>
        <w:sym w:font="Symbol" w:char="F074"/>
      </w:r>
      <w:r>
        <w:t xml:space="preserve"> when</w:t>
      </w:r>
      <w:r w:rsidRPr="006F0F51">
        <w:t xml:space="preserve"> </w:t>
      </w:r>
      <m:oMath>
        <m:r>
          <w:rPr>
            <w:rFonts w:ascii="Cambria Math" w:hAnsi="Cambria Math"/>
          </w:rPr>
          <m:t>τ→0</m:t>
        </m:r>
      </m:oMath>
      <w:r>
        <w:t>.</w:t>
      </w:r>
    </w:p>
    <w:p w14:paraId="5AE18512" w14:textId="77777777" w:rsidR="00D83CEF" w:rsidRPr="00445DD4" w:rsidRDefault="00D83CEF" w:rsidP="00D83CEF">
      <w:pPr>
        <w:pStyle w:val="EQ"/>
      </w:pPr>
      <w:r>
        <w:tab/>
      </w:r>
      <m:oMath>
        <m:f>
          <m:fPr>
            <m:ctrlPr>
              <w:rPr>
                <w:rFonts w:ascii="Cambria Math" w:hAnsi="Cambria Math"/>
                <w:i/>
              </w:rPr>
            </m:ctrlPr>
          </m:fPr>
          <m:num>
            <m:sSub>
              <m:sSubPr>
                <m:ctrlPr>
                  <w:rPr>
                    <w:rFonts w:ascii="Cambria Math" w:hAnsi="Cambria Math"/>
                    <w:i/>
                  </w:rPr>
                </m:ctrlPr>
              </m:sSubPr>
              <m:e>
                <m:r>
                  <w:rPr>
                    <w:rFonts w:ascii="Cambria Math" w:hAnsi="Cambria Math"/>
                  </w:rPr>
                  <m:t>dCL</m:t>
                </m:r>
              </m:e>
              <m:sub>
                <m:r>
                  <w:rPr>
                    <w:rFonts w:ascii="Cambria Math" w:hAnsi="Cambria Math"/>
                  </w:rPr>
                  <m:t>a</m:t>
                </m:r>
              </m:sub>
            </m:sSub>
          </m:num>
          <m:den>
            <m:r>
              <w:rPr>
                <w:rFonts w:ascii="Cambria Math" w:hAnsi="Cambria Math"/>
              </w:rPr>
              <m:t>dt</m:t>
            </m:r>
          </m:den>
        </m:f>
        <m:r>
          <m:rPr>
            <m:sty m:val="p"/>
          </m:rP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τ</m:t>
            </m:r>
          </m:den>
        </m:f>
        <m:r>
          <w:rPr>
            <w:rFonts w:ascii="Cambria Math" w:hAnsi="Cambria Math"/>
          </w:rPr>
          <m:t>×</m:t>
        </m:r>
        <m:d>
          <m:dPr>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r>
              <w:rPr>
                <w:rFonts w:ascii="Cambria Math" w:hAnsi="Cambria Math"/>
              </w:rPr>
              <m:t>×</m:t>
            </m:r>
            <m:d>
              <m:dPr>
                <m:ctrlPr>
                  <w:rPr>
                    <w:rFonts w:ascii="Cambria Math" w:hAnsi="Cambria Math"/>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e>
        </m:d>
      </m:oMath>
      <w:r>
        <w:tab/>
      </w:r>
      <w:r w:rsidRPr="00445DD4">
        <w:t>(</w:t>
      </w:r>
      <w:bookmarkStart w:id="381" w:name="EQ_CLa_DEQ"/>
      <w:r>
        <w:fldChar w:fldCharType="begin"/>
      </w:r>
      <w:r>
        <w:instrText xml:space="preserve"> SEQ Eq \* MERGEFORMAT </w:instrText>
      </w:r>
      <w:r>
        <w:fldChar w:fldCharType="separate"/>
      </w:r>
      <w:r>
        <w:t>54</w:t>
      </w:r>
      <w:r>
        <w:fldChar w:fldCharType="end"/>
      </w:r>
      <w:bookmarkEnd w:id="381"/>
      <w:r w:rsidRPr="00445DD4">
        <w:t>)</w:t>
      </w:r>
    </w:p>
    <w:p w14:paraId="18BAE03A" w14:textId="77777777" w:rsidR="00D83CEF" w:rsidRDefault="00D83CEF" w:rsidP="00D83CEF">
      <w:r>
        <w:t>When substituting</w:t>
      </w:r>
      <w:r w:rsidRPr="006F0F51">
        <w:t xml:space="preserve"> </w:t>
      </w:r>
      <m:oMath>
        <m:r>
          <w:rPr>
            <w:rFonts w:ascii="Cambria Math" w:hAnsi="Cambria Math"/>
          </w:rPr>
          <m:t>A=N×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oMath>
      <w:r>
        <w:t xml:space="preserve"> and </w:t>
      </w:r>
      <m:oMath>
        <m:r>
          <w:rPr>
            <w:rFonts w:ascii="Cambria Math" w:hAnsi="Cambria Math"/>
          </w:rPr>
          <m:t>B=</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t xml:space="preserve"> into equation </w:t>
      </w:r>
      <w:r>
        <w:fldChar w:fldCharType="begin"/>
      </w:r>
      <w:r>
        <w:instrText xml:space="preserve"> REF EQ_CLa_DEQ \h </w:instrText>
      </w:r>
      <w:r>
        <w:fldChar w:fldCharType="separate"/>
      </w:r>
      <w:r>
        <w:rPr>
          <w:noProof/>
        </w:rPr>
        <w:t>54</w:t>
      </w:r>
      <w:r>
        <w:fldChar w:fldCharType="end"/>
      </w:r>
      <w:r>
        <w:t xml:space="preserve"> it can be rewritten after separation of the variables into </w:t>
      </w:r>
    </w:p>
    <w:p w14:paraId="5438DEFF" w14:textId="77777777" w:rsidR="00D83CEF" w:rsidRPr="00445DD4" w:rsidRDefault="00D83CEF" w:rsidP="00D83CEF">
      <w:pPr>
        <w:pStyle w:val="EQ"/>
      </w:pPr>
      <w:r>
        <w:tab/>
      </w:r>
      <m:oMath>
        <m:nary>
          <m:naryPr>
            <m:limLoc m:val="undOvr"/>
            <m:subHide m:val="1"/>
            <m:supHide m:val="1"/>
            <m:ctrlPr>
              <w:rPr>
                <w:rFonts w:ascii="Cambria Math" w:hAnsi="Cambria Math"/>
                <w:i/>
              </w:rPr>
            </m:ctrlPr>
          </m:naryPr>
          <m:sub/>
          <m:sup/>
          <m:e>
            <m:f>
              <m:fPr>
                <m:ctrlPr>
                  <w:rPr>
                    <w:rFonts w:ascii="Cambria Math" w:hAnsi="Cambria Math"/>
                    <w:i/>
                  </w:rPr>
                </m:ctrlPr>
              </m:fPr>
              <m:num>
                <m:sSub>
                  <m:sSubPr>
                    <m:ctrlPr>
                      <w:rPr>
                        <w:rFonts w:ascii="Cambria Math" w:hAnsi="Cambria Math"/>
                        <w:i/>
                      </w:rPr>
                    </m:ctrlPr>
                  </m:sSubPr>
                  <m:e>
                    <m:r>
                      <w:rPr>
                        <w:rFonts w:ascii="Cambria Math" w:hAnsi="Cambria Math"/>
                      </w:rPr>
                      <m:t>dCL</m:t>
                    </m:r>
                  </m:e>
                  <m:sub>
                    <m:r>
                      <w:rPr>
                        <w:rFonts w:ascii="Cambria Math" w:hAnsi="Cambria Math"/>
                      </w:rPr>
                      <m:t>a</m:t>
                    </m:r>
                  </m:sub>
                </m:sSub>
              </m:num>
              <m:den>
                <m:r>
                  <w:rPr>
                    <w:rFonts w:ascii="Cambria Math" w:hAnsi="Cambria Math"/>
                  </w:rPr>
                  <m:t>A-B×</m:t>
                </m:r>
                <m:sSub>
                  <m:sSubPr>
                    <m:ctrlPr>
                      <w:rPr>
                        <w:rFonts w:ascii="Cambria Math" w:hAnsi="Cambria Math"/>
                        <w:i/>
                      </w:rPr>
                    </m:ctrlPr>
                  </m:sSubPr>
                  <m:e>
                    <m:r>
                      <w:rPr>
                        <w:rFonts w:ascii="Cambria Math" w:hAnsi="Cambria Math"/>
                      </w:rPr>
                      <m:t>CL</m:t>
                    </m:r>
                  </m:e>
                  <m:sub>
                    <m:r>
                      <w:rPr>
                        <w:rFonts w:ascii="Cambria Math" w:hAnsi="Cambria Math"/>
                      </w:rPr>
                      <m:t>a</m:t>
                    </m:r>
                  </m:sub>
                </m:sSub>
              </m:den>
            </m:f>
          </m:e>
        </m:nary>
        <m:r>
          <m:rPr>
            <m:sty m:val="p"/>
          </m:rPr>
          <w:rPr>
            <w:rFonts w:ascii="Cambria Math" w:hAnsi="Cambria Math"/>
          </w:rPr>
          <m:t>=</m:t>
        </m:r>
        <m:nary>
          <m:naryPr>
            <m:limLoc m:val="undOvr"/>
            <m:subHide m:val="1"/>
            <m:supHide m:val="1"/>
            <m:ctrlPr>
              <w:rPr>
                <w:rFonts w:ascii="Cambria Math" w:hAnsi="Cambria Math"/>
              </w:rPr>
            </m:ctrlPr>
          </m:naryPr>
          <m:sub/>
          <m:sup/>
          <m:e>
            <m:f>
              <m:fPr>
                <m:ctrlPr>
                  <w:rPr>
                    <w:rFonts w:ascii="Cambria Math" w:hAnsi="Cambria Math"/>
                  </w:rPr>
                </m:ctrlPr>
              </m:fPr>
              <m:num>
                <m:r>
                  <w:rPr>
                    <w:rFonts w:ascii="Cambria Math" w:hAnsi="Cambria Math"/>
                  </w:rPr>
                  <m:t>dt</m:t>
                </m:r>
              </m:num>
              <m:den>
                <m:r>
                  <w:rPr>
                    <w:rFonts w:ascii="Cambria Math" w:hAnsi="Cambria Math"/>
                  </w:rPr>
                  <m:t>τ</m:t>
                </m:r>
              </m:den>
            </m:f>
          </m:e>
        </m:nary>
      </m:oMath>
      <w:r>
        <w:t>.</w:t>
      </w:r>
      <w:r>
        <w:tab/>
      </w:r>
      <w:r w:rsidRPr="00445DD4">
        <w:t>(</w:t>
      </w:r>
      <w:bookmarkStart w:id="382" w:name="EQ_CLa_Integral"/>
      <w:r>
        <w:fldChar w:fldCharType="begin"/>
      </w:r>
      <w:r>
        <w:instrText xml:space="preserve"> SEQ Eq \* MERGEFORMAT </w:instrText>
      </w:r>
      <w:r>
        <w:fldChar w:fldCharType="separate"/>
      </w:r>
      <w:r>
        <w:t>55</w:t>
      </w:r>
      <w:r>
        <w:fldChar w:fldCharType="end"/>
      </w:r>
      <w:bookmarkEnd w:id="382"/>
      <w:r w:rsidRPr="00445DD4">
        <w:t>)</w:t>
      </w:r>
    </w:p>
    <w:p w14:paraId="24CFB2E2" w14:textId="77777777" w:rsidR="00D83CEF" w:rsidRDefault="00D83CEF" w:rsidP="00D83CEF">
      <w:r>
        <w:t>When integrating equation </w:t>
      </w:r>
      <w:r>
        <w:fldChar w:fldCharType="begin"/>
      </w:r>
      <w:r>
        <w:instrText xml:space="preserve"> REF EQ_CLa_Integral \h </w:instrText>
      </w:r>
      <w:r>
        <w:fldChar w:fldCharType="separate"/>
      </w:r>
      <w:r>
        <w:rPr>
          <w:noProof/>
        </w:rPr>
        <w:t>55</w:t>
      </w:r>
      <w:r>
        <w:fldChar w:fldCharType="end"/>
      </w:r>
      <w:r>
        <w:t xml:space="preserve"> it results to</w:t>
      </w:r>
    </w:p>
    <w:p w14:paraId="4F0E3E33" w14:textId="77777777" w:rsidR="00D83CEF" w:rsidRDefault="00D83CEF" w:rsidP="00D83CEF">
      <w:pPr>
        <w:pStyle w:val="EQ"/>
      </w:pPr>
      <w:r>
        <w:tab/>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-t</m:t>
            </m:r>
          </m:num>
          <m:den>
            <m:r>
              <w:rPr>
                <w:rFonts w:ascii="Cambria Math" w:hAnsi="Cambria Math"/>
              </w:rPr>
              <m:t>τ</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B</m:t>
            </m:r>
          </m:den>
        </m:f>
        <m:r>
          <w:rPr>
            <w:rFonts w:ascii="Cambria Math" w:hAnsi="Cambria Math"/>
          </w:rPr>
          <m:t>log</m:t>
        </m:r>
        <m:d>
          <m:dPr>
            <m:ctrlPr>
              <w:rPr>
                <w:rFonts w:ascii="Cambria Math" w:hAnsi="Cambria Math"/>
                <w:i/>
              </w:rPr>
            </m:ctrlPr>
          </m:dPr>
          <m:e>
            <m:d>
              <m:dPr>
                <m:begChr m:val="|"/>
                <m:endChr m:val="|"/>
                <m:ctrlPr>
                  <w:rPr>
                    <w:rFonts w:ascii="Cambria Math" w:hAnsi="Cambria Math"/>
                    <w:i/>
                  </w:rPr>
                </m:ctrlPr>
              </m:dPr>
              <m:e>
                <m:r>
                  <w:rPr>
                    <w:rFonts w:ascii="Cambria Math" w:hAnsi="Cambria Math"/>
                  </w:rPr>
                  <m:t>A-B×</m:t>
                </m:r>
                <m:sSub>
                  <m:sSubPr>
                    <m:ctrlPr>
                      <w:rPr>
                        <w:rFonts w:ascii="Cambria Math" w:hAnsi="Cambria Math"/>
                        <w:i/>
                      </w:rPr>
                    </m:ctrlPr>
                  </m:sSubPr>
                  <m:e>
                    <m:r>
                      <w:rPr>
                        <w:rFonts w:ascii="Cambria Math" w:hAnsi="Cambria Math"/>
                      </w:rPr>
                      <m:t>CL</m:t>
                    </m:r>
                  </m:e>
                  <m:sub>
                    <m:r>
                      <w:rPr>
                        <w:rFonts w:ascii="Cambria Math" w:hAnsi="Cambria Math"/>
                      </w:rPr>
                      <m:t>a</m:t>
                    </m:r>
                  </m:sub>
                </m:sSub>
              </m:e>
            </m:d>
          </m:e>
        </m:d>
      </m:oMath>
      <w:r>
        <w:t>.</w:t>
      </w:r>
      <w:r>
        <w:tab/>
      </w:r>
      <w:r w:rsidRPr="00445DD4">
        <w:t>(</w:t>
      </w:r>
      <w:bookmarkStart w:id="383" w:name="EQ_CLa_Integral_result"/>
      <w:r>
        <w:fldChar w:fldCharType="begin"/>
      </w:r>
      <w:r>
        <w:instrText xml:space="preserve"> SEQ Eq \* MERGEFORMAT </w:instrText>
      </w:r>
      <w:r>
        <w:fldChar w:fldCharType="separate"/>
      </w:r>
      <w:r>
        <w:t>56</w:t>
      </w:r>
      <w:r>
        <w:fldChar w:fldCharType="end"/>
      </w:r>
      <w:bookmarkEnd w:id="383"/>
      <w:r w:rsidRPr="00445DD4">
        <w:t>)</w:t>
      </w:r>
    </w:p>
    <w:p w14:paraId="707509E9" w14:textId="77777777" w:rsidR="00D83CEF" w:rsidRPr="00746D8C" w:rsidRDefault="00D83CEF" w:rsidP="00D83CEF">
      <w:r>
        <w:t xml:space="preserve">When undoing the substitution for </w:t>
      </w:r>
      <w:r w:rsidRPr="00746D8C">
        <w:rPr>
          <w:i/>
          <w:iCs/>
        </w:rPr>
        <w:t>A</w:t>
      </w:r>
      <w:r>
        <w:t xml:space="preserve"> and </w:t>
      </w:r>
      <w:r w:rsidRPr="00746D8C">
        <w:rPr>
          <w:i/>
          <w:iCs/>
        </w:rPr>
        <w:t>B</w:t>
      </w:r>
      <w:r>
        <w:t xml:space="preserve"> in equation </w:t>
      </w:r>
      <w:r>
        <w:fldChar w:fldCharType="begin"/>
      </w:r>
      <w:r>
        <w:instrText xml:space="preserve"> REF EQ_CLa_Integral_result \h </w:instrText>
      </w:r>
      <w:r>
        <w:fldChar w:fldCharType="separate"/>
      </w:r>
      <w:r>
        <w:rPr>
          <w:noProof/>
        </w:rPr>
        <w:t>56</w:t>
      </w:r>
      <w:r>
        <w:fldChar w:fldCharType="end"/>
      </w:r>
      <w:r>
        <w:t xml:space="preserve"> the continuous time solution for the adaptive congestion control results to</w:t>
      </w:r>
    </w:p>
    <w:p w14:paraId="550A1240" w14:textId="77777777" w:rsidR="00D83CEF" w:rsidRDefault="00D83CEF" w:rsidP="00D83CEF">
      <w:pPr>
        <w:pStyle w:val="EQ"/>
      </w:pPr>
      <w:r>
        <w:tab/>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-t</m:t>
            </m:r>
          </m:num>
          <m:den>
            <m:r>
              <w:rPr>
                <w:rFonts w:ascii="Cambria Math" w:hAnsi="Cambria Math"/>
              </w:rPr>
              <m:t>τ</m:t>
            </m:r>
          </m:den>
        </m:f>
        <m:r>
          <w:rPr>
            <w:rFonts w:ascii="Cambria Math" w:hAnsi="Cambria Math"/>
          </w:rPr>
          <m:t>=</m:t>
        </m:r>
        <m:f>
          <m:fPr>
            <m:ctrlPr>
              <w:rPr>
                <w:rFonts w:ascii="Cambria Math" w:hAnsi="Cambria Math"/>
                <w:i/>
              </w:rPr>
            </m:ctrlPr>
          </m:fPr>
          <m:num>
            <m:r>
              <w:rPr>
                <w:rFonts w:ascii="Cambria Math" w:hAnsi="Cambria Math"/>
              </w:rPr>
              <m:t>1</m:t>
            </m:r>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en>
        </m:f>
        <m:r>
          <w:rPr>
            <w:rFonts w:ascii="Cambria Math" w:hAnsi="Cambria Math"/>
          </w:rPr>
          <m:t>×log</m:t>
        </m:r>
        <m:d>
          <m:dPr>
            <m:ctrlPr>
              <w:rPr>
                <w:rFonts w:ascii="Cambria Math" w:hAnsi="Cambria Math"/>
                <w:i/>
              </w:rPr>
            </m:ctrlPr>
          </m:dPr>
          <m:e>
            <m:d>
              <m:dPr>
                <m:begChr m:val="|"/>
                <m:endChr m:val="|"/>
                <m:ctrlPr>
                  <w:rPr>
                    <w:rFonts w:ascii="Cambria Math" w:hAnsi="Cambria Math"/>
                    <w:i/>
                  </w:rPr>
                </m:ctrlPr>
              </m:dPr>
              <m:e>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d>
                  <m:dPr>
                    <m:ctrlPr>
                      <w:rPr>
                        <w:rFonts w:ascii="Cambria Math" w:hAnsi="Cambria Math"/>
                        <w:i/>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e>
            </m:d>
          </m:e>
        </m:d>
      </m:oMath>
      <w:r>
        <w:t>.</w:t>
      </w:r>
      <w:r>
        <w:tab/>
      </w:r>
      <w:r w:rsidRPr="00445DD4">
        <w:t>(</w:t>
      </w:r>
      <w:bookmarkStart w:id="384" w:name="EQ_adaptive_solution_in_t"/>
      <w:r>
        <w:fldChar w:fldCharType="begin"/>
      </w:r>
      <w:r>
        <w:instrText xml:space="preserve"> SEQ Eq \* MERGEFORMAT </w:instrText>
      </w:r>
      <w:r>
        <w:fldChar w:fldCharType="separate"/>
      </w:r>
      <w:r>
        <w:t>57</w:t>
      </w:r>
      <w:r>
        <w:fldChar w:fldCharType="end"/>
      </w:r>
      <w:bookmarkEnd w:id="384"/>
      <w:r w:rsidRPr="00445DD4">
        <w:t>)</w:t>
      </w:r>
    </w:p>
    <w:p w14:paraId="7E6AFC96" w14:textId="7F287EDE" w:rsidR="00D83CEF" w:rsidRPr="00746D8C" w:rsidRDefault="00D83CEF" w:rsidP="00D83CEF">
      <w:r>
        <w:fldChar w:fldCharType="begin"/>
      </w:r>
      <w:r>
        <w:instrText xml:space="preserve"> REF _Ref195811366 \h </w:instrText>
      </w:r>
      <w:r>
        <w:fldChar w:fldCharType="separate"/>
      </w:r>
      <w:r w:rsidR="00A83239" w:rsidRPr="00445DD4">
        <w:t xml:space="preserve">Figure </w:t>
      </w:r>
      <w:r w:rsidR="00A83239">
        <w:rPr>
          <w:noProof/>
        </w:rPr>
        <w:t>33</w:t>
      </w:r>
      <w:r>
        <w:fldChar w:fldCharType="end"/>
      </w:r>
      <w:r>
        <w:t xml:space="preserve"> shows the analytic result calculated with equation </w:t>
      </w:r>
      <w:r>
        <w:fldChar w:fldCharType="begin"/>
      </w:r>
      <w:r>
        <w:instrText xml:space="preserve"> REF EQ_adaptive_solution_in_t \h </w:instrText>
      </w:r>
      <w:r>
        <w:fldChar w:fldCharType="separate"/>
      </w:r>
      <w:r>
        <w:rPr>
          <w:noProof/>
        </w:rPr>
        <w:t>57</w:t>
      </w:r>
      <w:r>
        <w:fldChar w:fldCharType="end"/>
      </w:r>
      <w:r>
        <w:t xml:space="preserve"> in red colour and a numeric result as blue crosses for the for </w:t>
      </w:r>
      <w:r w:rsidRPr="00EF5A13">
        <w:rPr>
          <w:i/>
        </w:rPr>
        <w:t>N</w:t>
      </w:r>
      <w:r>
        <w:rPr>
          <w:i/>
        </w:rPr>
        <w:t> </w:t>
      </w:r>
      <w:r>
        <w:t xml:space="preserve">= 100, </w:t>
      </w:r>
      <w:r w:rsidRPr="00EF5A13">
        <w:rPr>
          <w:i/>
        </w:rPr>
        <w:t>T</w:t>
      </w:r>
      <w:r w:rsidRPr="00EF5A13">
        <w:rPr>
          <w:i/>
          <w:vertAlign w:val="subscript"/>
        </w:rPr>
        <w:t>on</w:t>
      </w:r>
      <w:r>
        <w:t> = 1 ms, and the parameters given in in Table 3 of [</w:t>
      </w:r>
      <w:r w:rsidRPr="00436A20">
        <w:t>ETSI</w:t>
      </w:r>
      <w:r>
        <w:t> </w:t>
      </w:r>
      <w:r w:rsidRPr="00436A20">
        <w:t>TS</w:t>
      </w:r>
      <w:r>
        <w:t> </w:t>
      </w:r>
      <w:r w:rsidRPr="00436A20">
        <w:t>102</w:t>
      </w:r>
      <w:r>
        <w:t> </w:t>
      </w:r>
      <w:r w:rsidRPr="00436A20">
        <w:t>687</w:t>
      </w:r>
      <w:r>
        <w:t> </w:t>
      </w:r>
      <w:r w:rsidRPr="00436A20">
        <w:t>V1.2.1</w:t>
      </w:r>
      <w:r>
        <w:t xml:space="preserve">]. The numeric result is obtained with a step size of </w:t>
      </w:r>
      <w:r w:rsidRPr="00BB7E97">
        <w:rPr>
          <w:i/>
        </w:rPr>
        <w:t>t</w:t>
      </w:r>
      <w:r>
        <w:t>/</w:t>
      </w:r>
      <w:r w:rsidRPr="00BB7E97">
        <w:rPr>
          <w:i/>
        </w:rPr>
        <w:sym w:font="Symbol" w:char="F074"/>
      </w:r>
      <w:r>
        <w:t> = 1 as specified in of [</w:t>
      </w:r>
      <w:r w:rsidRPr="00436A20">
        <w:t>ETSI</w:t>
      </w:r>
      <w:r>
        <w:t> </w:t>
      </w:r>
      <w:r w:rsidRPr="00436A20">
        <w:t>TS</w:t>
      </w:r>
      <w:r>
        <w:t> </w:t>
      </w:r>
      <w:r w:rsidRPr="00436A20">
        <w:t>102</w:t>
      </w:r>
      <w:r>
        <w:t> </w:t>
      </w:r>
      <w:r w:rsidRPr="00436A20">
        <w:t>687</w:t>
      </w:r>
      <w:r>
        <w:t> </w:t>
      </w:r>
      <w:r w:rsidRPr="00436A20">
        <w:t>V1.2.1</w:t>
      </w:r>
      <w:r>
        <w:t xml:space="preserve">]. In this example, for </w:t>
      </w:r>
      <w:r w:rsidRPr="00BB7E97">
        <w:rPr>
          <w:i/>
        </w:rPr>
        <w:sym w:font="Symbol" w:char="F074"/>
      </w:r>
      <w:r>
        <w:t xml:space="preserve"> = 100 ms the channel load is close to the equilibrium after around two seconds, and in practice reaches it after four seconds. The convergence time of the discrete time adaptive congestion control is strongly depending on the term </w:t>
      </w:r>
      <m:oMath>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t xml:space="preserve"> as will be shown in clause </w:t>
      </w:r>
      <w:r>
        <w:fldChar w:fldCharType="begin"/>
      </w:r>
      <w:r>
        <w:instrText xml:space="preserve"> REF Cls_adaptive_Stability \h </w:instrText>
      </w:r>
      <w:r>
        <w:fldChar w:fldCharType="separate"/>
      </w:r>
      <w:r>
        <w:t>C.2.2.2</w:t>
      </w:r>
      <w:r>
        <w:fldChar w:fldCharType="end"/>
      </w:r>
      <w:r>
        <w:t>.</w:t>
      </w:r>
    </w:p>
    <w:p w14:paraId="6968F070" w14:textId="77777777" w:rsidR="00D83CEF" w:rsidRDefault="00D83CEF" w:rsidP="00D83CEF">
      <w:pPr>
        <w:pStyle w:val="FL"/>
        <w:rPr>
          <w:highlight w:val="yellow"/>
        </w:rPr>
      </w:pPr>
      <w:r>
        <w:rPr>
          <w:noProof/>
        </w:rPr>
        <w:drawing>
          <wp:inline distT="0" distB="0" distL="0" distR="0" wp14:anchorId="64CE5E1F" wp14:editId="5BFDB37C">
            <wp:extent cx="4048150" cy="3024000"/>
            <wp:effectExtent l="0" t="0" r="0" b="5080"/>
            <wp:docPr id="9442075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20756" name="Grafik 1"/>
                    <pic:cNvPicPr/>
                  </pic:nvPicPr>
                  <pic:blipFill rotWithShape="1">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rcRect t="8514" b="2002"/>
                    <a:stretch/>
                  </pic:blipFill>
                  <pic:spPr bwMode="auto">
                    <a:xfrm>
                      <a:off x="0" y="0"/>
                      <a:ext cx="4053600" cy="3028071"/>
                    </a:xfrm>
                    <a:prstGeom prst="rect">
                      <a:avLst/>
                    </a:prstGeom>
                    <a:ln>
                      <a:noFill/>
                    </a:ln>
                    <a:extLst>
                      <a:ext uri="{53640926-AAD7-44D8-BBD7-CCE9431645EC}">
                        <a14:shadowObscured xmlns:a14="http://schemas.microsoft.com/office/drawing/2010/main"/>
                      </a:ext>
                    </a:extLst>
                  </pic:spPr>
                </pic:pic>
              </a:graphicData>
            </a:graphic>
          </wp:inline>
        </w:drawing>
      </w:r>
    </w:p>
    <w:p w14:paraId="79DCF2BE" w14:textId="47412433" w:rsidR="00D83CEF" w:rsidRPr="0075297E" w:rsidRDefault="00D83CEF" w:rsidP="00D83CEF">
      <w:pPr>
        <w:pStyle w:val="TF"/>
      </w:pPr>
      <w:bookmarkStart w:id="385" w:name="_Ref195811366"/>
      <w:r w:rsidRPr="00445DD4">
        <w:t xml:space="preserve">Figure </w:t>
      </w:r>
      <w:r w:rsidR="001D085A">
        <w:fldChar w:fldCharType="begin"/>
      </w:r>
      <w:r w:rsidR="001D085A">
        <w:instrText xml:space="preserve"> SEQ Figure \* ARABIC </w:instrText>
      </w:r>
      <w:r w:rsidR="001D085A">
        <w:fldChar w:fldCharType="separate"/>
      </w:r>
      <w:r w:rsidR="001D085A">
        <w:rPr>
          <w:noProof/>
        </w:rPr>
        <w:t>33</w:t>
      </w:r>
      <w:r w:rsidR="001D085A">
        <w:rPr>
          <w:noProof/>
        </w:rPr>
        <w:fldChar w:fldCharType="end"/>
      </w:r>
      <w:bookmarkEnd w:id="385"/>
      <w:r w:rsidRPr="00445DD4">
        <w:tab/>
      </w:r>
      <w:r>
        <w:t xml:space="preserve">Analytic and numeric solution of the continuous time adaptive congestion control </w:t>
      </w:r>
      <w:r>
        <w:br/>
        <w:t xml:space="preserve">for </w:t>
      </w:r>
      <w:r w:rsidRPr="00EF5A13">
        <w:rPr>
          <w:i/>
        </w:rPr>
        <w:t>N</w:t>
      </w:r>
      <w:r>
        <w:rPr>
          <w:i/>
        </w:rPr>
        <w:t> </w:t>
      </w:r>
      <w:r>
        <w:t xml:space="preserve">= 100, </w:t>
      </w:r>
      <w:r w:rsidRPr="00EF5A13">
        <w:rPr>
          <w:i/>
        </w:rPr>
        <w:t>T</w:t>
      </w:r>
      <w:r w:rsidRPr="00EF5A13">
        <w:rPr>
          <w:i/>
          <w:vertAlign w:val="subscript"/>
        </w:rPr>
        <w:t>on</w:t>
      </w:r>
      <w:r>
        <w:t> = 1 ms, and the parameters given in in Table 3 of [</w:t>
      </w:r>
      <w:r w:rsidRPr="00436A20">
        <w:t>ETSI</w:t>
      </w:r>
      <w:r>
        <w:t> </w:t>
      </w:r>
      <w:r w:rsidRPr="00436A20">
        <w:t>TS</w:t>
      </w:r>
      <w:r>
        <w:t> </w:t>
      </w:r>
      <w:r w:rsidRPr="00436A20">
        <w:t>102</w:t>
      </w:r>
      <w:r>
        <w:t> </w:t>
      </w:r>
      <w:r w:rsidRPr="00436A20">
        <w:t>687</w:t>
      </w:r>
      <w:r>
        <w:t> </w:t>
      </w:r>
      <w:r w:rsidRPr="00436A20">
        <w:t>V1.2.1</w:t>
      </w:r>
      <w:r>
        <w:t>]</w:t>
      </w:r>
    </w:p>
    <w:p w14:paraId="2C595F1B" w14:textId="77777777" w:rsidR="00D83CEF" w:rsidRDefault="00D83CEF" w:rsidP="00D83CEF">
      <w:r w:rsidRPr="008568B2">
        <w:t xml:space="preserve">There are two </w:t>
      </w:r>
      <w:r>
        <w:t xml:space="preserve">analytic </w:t>
      </w:r>
      <w:r w:rsidRPr="008568B2">
        <w:t>solutions</w:t>
      </w:r>
      <w:r>
        <w:t xml:space="preserve"> for the continuous time behaviour of the adaptive congestion control </w:t>
      </w:r>
      <w:r w:rsidRPr="008568B2">
        <w:t>depending on whether</w:t>
      </w:r>
      <w:r>
        <w:t xml:space="preserve"> the initial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oMath>
      <w:r>
        <w:t xml:space="preserve"> is above or below the equilibrium channel load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w:t>
      </w:r>
    </w:p>
    <w:p w14:paraId="7BA260DA" w14:textId="77777777" w:rsidR="00D83CEF" w:rsidRDefault="00D83CEF" w:rsidP="00D83CEF">
      <w:r>
        <w:t xml:space="preserve">When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&gt;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 xml:space="preserve"> then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t xml:space="preserve"> results from equation </w:t>
      </w:r>
      <w:r>
        <w:fldChar w:fldCharType="begin"/>
      </w:r>
      <w:r>
        <w:instrText xml:space="preserve"> REF EQ_t0_adaptive_above \h </w:instrText>
      </w:r>
      <w:r>
        <w:fldChar w:fldCharType="separate"/>
      </w:r>
      <w:r>
        <w:rPr>
          <w:noProof/>
        </w:rPr>
        <w:t>58</w:t>
      </w:r>
      <w:r>
        <w:fldChar w:fldCharType="end"/>
      </w:r>
      <w:r>
        <w:t>.</w:t>
      </w:r>
    </w:p>
    <w:p w14:paraId="1F6A876E" w14:textId="77777777" w:rsidR="00D83CEF" w:rsidRPr="00445DD4" w:rsidRDefault="00D83CEF" w:rsidP="00D83CEF">
      <w:pPr>
        <w:pStyle w:val="EQ"/>
      </w:pPr>
      <w:r>
        <w:tab/>
      </w:r>
      <m:oMath>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m:t>
        </m:r>
        <m:f>
          <m:fPr>
            <m:ctrlPr>
              <w:rPr>
                <w:rFonts w:ascii="Cambria Math" w:hAnsi="Cambria Math"/>
                <w:i/>
              </w:rPr>
            </m:ctrlPr>
          </m:fPr>
          <m:num>
            <m:r>
              <w:rPr>
                <w:rFonts w:ascii="Cambria Math" w:hAnsi="Cambria Math"/>
              </w:rPr>
              <m:t>τ</m:t>
            </m:r>
          </m:num>
          <m:den>
            <m:r>
              <m:rPr>
                <m:sty m:val="p"/>
              </m:rPr>
              <w:rPr>
                <w:rFonts w:ascii="Cambria Math" w:hAnsi="Cambria Math"/>
              </w:rPr>
              <m:t>B</m:t>
            </m:r>
          </m:den>
        </m:f>
        <m: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noProof w:val="0"/>
                      </w:rPr>
                    </m:ctrlPr>
                  </m:sSubPr>
                  <m:e>
                    <m:r>
                      <w:rPr>
                        <w:rFonts w:ascii="Cambria Math" w:hAnsi="Cambria Math"/>
                      </w:rPr>
                      <m:t>t</m:t>
                    </m:r>
                  </m:e>
                  <m:sub>
                    <m:r>
                      <w:rPr>
                        <w:rFonts w:ascii="Cambria Math" w:hAnsi="Cambria Math"/>
                      </w:rPr>
                      <m:t>0</m:t>
                    </m:r>
                  </m:sub>
                </m:sSub>
              </m:e>
            </m:d>
            <m:r>
              <w:rPr>
                <w:rFonts w:ascii="Cambria Math" w:hAnsi="Cambria Math"/>
              </w:rPr>
              <m:t>×B-A</m:t>
            </m:r>
          </m:e>
        </m:d>
      </m:oMath>
      <w:r>
        <w:tab/>
      </w:r>
      <w:r w:rsidRPr="00445DD4">
        <w:t>(</w:t>
      </w:r>
      <w:bookmarkStart w:id="386" w:name="EQ_t0_adaptive_above"/>
      <w:r>
        <w:fldChar w:fldCharType="begin"/>
      </w:r>
      <w:r>
        <w:instrText xml:space="preserve"> SEQ Eq \* MERGEFORMAT </w:instrText>
      </w:r>
      <w:r>
        <w:fldChar w:fldCharType="separate"/>
      </w:r>
      <w:r>
        <w:t>58</w:t>
      </w:r>
      <w:r>
        <w:fldChar w:fldCharType="end"/>
      </w:r>
      <w:bookmarkEnd w:id="386"/>
      <w:r w:rsidRPr="00445DD4">
        <w:t>)</w:t>
      </w:r>
    </w:p>
    <w:p w14:paraId="54DA4094" w14:textId="77777777" w:rsidR="00D83CEF" w:rsidRPr="00445DD4" w:rsidRDefault="00D83CEF" w:rsidP="00D83CEF">
      <w:pPr>
        <w:pStyle w:val="EQ"/>
      </w:pPr>
      <w:r>
        <w:tab/>
      </w:r>
      <m:oMath>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m:t>
        </m:r>
        <m:f>
          <m:fPr>
            <m:ctrlPr>
              <w:rPr>
                <w:rFonts w:ascii="Cambria Math" w:hAnsi="Cambria Math"/>
                <w:i/>
              </w:rPr>
            </m:ctrlPr>
          </m:fPr>
          <m:num>
            <m:r>
              <w:rPr>
                <w:rFonts w:ascii="Cambria Math" w:hAnsi="Cambria Math"/>
              </w:rPr>
              <m:t>τ</m:t>
            </m:r>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en>
        </m:f>
        <m: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noProof w:val="0"/>
                      </w:rPr>
                    </m:ctrlPr>
                  </m:sSubPr>
                  <m:e>
                    <m:r>
                      <w:rPr>
                        <w:rFonts w:ascii="Cambria Math" w:hAnsi="Cambria Math"/>
                      </w:rPr>
                      <m:t>t</m:t>
                    </m:r>
                  </m:e>
                  <m:sub>
                    <m:r>
                      <w:rPr>
                        <w:rFonts w:ascii="Cambria Math" w:hAnsi="Cambria Math"/>
                      </w:rPr>
                      <m:t>0</m:t>
                    </m:r>
                  </m:sub>
                </m:sSub>
              </m:e>
            </m:d>
            <m:r>
              <w:rPr>
                <w:rFonts w:ascii="Cambria Math" w:hAnsi="Cambria Math"/>
              </w:rPr>
              <m:t>×</m:t>
            </m:r>
            <m:d>
              <m:dPr>
                <m:ctrlPr>
                  <w:rPr>
                    <w:rFonts w:ascii="Cambria Math" w:hAnsi="Cambria Math"/>
                    <w:i/>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e>
        </m:d>
      </m:oMath>
      <w:r>
        <w:tab/>
      </w:r>
      <w:r w:rsidRPr="00445DD4">
        <w:t>(</w:t>
      </w:r>
      <w:bookmarkStart w:id="387" w:name="EQ_t0_adaptive_above_complete"/>
      <w:r>
        <w:fldChar w:fldCharType="begin"/>
      </w:r>
      <w:r>
        <w:instrText xml:space="preserve"> SEQ Eq \* MERGEFORMAT </w:instrText>
      </w:r>
      <w:r>
        <w:fldChar w:fldCharType="separate"/>
      </w:r>
      <w:r>
        <w:t>59</w:t>
      </w:r>
      <w:r>
        <w:fldChar w:fldCharType="end"/>
      </w:r>
      <w:bookmarkEnd w:id="387"/>
      <w:r w:rsidRPr="00445DD4">
        <w:t>)</w:t>
      </w:r>
    </w:p>
    <w:p w14:paraId="53EC61C1" w14:textId="77777777" w:rsidR="00D83CEF" w:rsidRDefault="00D83CEF" w:rsidP="00D83CEF">
      <w:r>
        <w:t xml:space="preserve">With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t xml:space="preserve"> from equation </w:t>
      </w:r>
      <w:r>
        <w:fldChar w:fldCharType="begin"/>
      </w:r>
      <w:r>
        <w:instrText xml:space="preserve"> REF EQ_t0_adaptive_above_complete \h </w:instrText>
      </w:r>
      <w:r>
        <w:fldChar w:fldCharType="separate"/>
      </w:r>
      <w:r>
        <w:rPr>
          <w:noProof/>
        </w:rPr>
        <w:t>59</w:t>
      </w:r>
      <w:r>
        <w:fldChar w:fldCharType="end"/>
      </w:r>
      <w:r>
        <w:t xml:space="preserve">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t</m:t>
            </m:r>
          </m:e>
        </m:d>
      </m:oMath>
      <w:r>
        <w:t xml:space="preserve"> results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&gt;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 xml:space="preserve"> from equation </w:t>
      </w:r>
      <w:r>
        <w:fldChar w:fldCharType="begin"/>
      </w:r>
      <w:r>
        <w:instrText xml:space="preserve"> REF EQ_CLa_t_plus \h </w:instrText>
      </w:r>
      <w:r>
        <w:fldChar w:fldCharType="separate"/>
      </w:r>
      <w:r>
        <w:rPr>
          <w:noProof/>
        </w:rPr>
        <w:t>60</w:t>
      </w:r>
      <w:r>
        <w:fldChar w:fldCharType="end"/>
      </w:r>
      <w:r>
        <w:t>.</w:t>
      </w:r>
    </w:p>
    <w:p w14:paraId="2E6F09D9" w14:textId="77777777" w:rsidR="00D83CEF" w:rsidRPr="00445DD4" w:rsidRDefault="00D83CEF" w:rsidP="00D83CEF">
      <w:pPr>
        <w:pStyle w:val="EQ"/>
      </w:pPr>
      <w:r>
        <w:tab/>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noProof w:val="0"/>
              </w:rPr>
              <m:t>t</m:t>
            </m:r>
          </m:e>
        </m:d>
        <m:r>
          <w:rPr>
            <w:rFonts w:ascii="Cambria Math" w:hAnsi="Cambria Math"/>
          </w:rPr>
          <m:t>=</m:t>
        </m:r>
        <m:f>
          <m:fPr>
            <m:ctrlPr>
              <w:rPr>
                <w:rFonts w:ascii="Cambria Math" w:hAnsi="Cambria Math"/>
                <w:i/>
              </w:rPr>
            </m:ctrlPr>
          </m:fPr>
          <m:num>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B×</m:t>
                </m:r>
                <m:f>
                  <m:fPr>
                    <m:ctrlPr>
                      <w:rPr>
                        <w:rFonts w:ascii="Cambria Math" w:hAnsi="Cambria Math"/>
                        <w:i/>
                      </w:rPr>
                    </m:ctrlPr>
                  </m:fPr>
                  <m:num>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-t</m:t>
                    </m:r>
                  </m:num>
                  <m:den>
                    <m:r>
                      <w:rPr>
                        <w:rFonts w:ascii="Cambria Math" w:hAnsi="Cambria Math"/>
                      </w:rPr>
                      <m:t>τ</m:t>
                    </m:r>
                  </m:den>
                </m:f>
              </m:sup>
            </m:sSup>
          </m:num>
          <m:den>
            <m:r>
              <m:rPr>
                <m:sty m:val="p"/>
              </m:rPr>
              <w:rPr>
                <w:rFonts w:ascii="Cambria Math" w:hAnsi="Cambria Math"/>
              </w:rPr>
              <m:t>B</m:t>
            </m:r>
          </m:den>
        </m:f>
        <m:r>
          <w:rPr>
            <w:rFonts w:ascii="Cambria Math" w:hAnsi="Cambria Math"/>
          </w:rPr>
          <m:t>=</m:t>
        </m:r>
        <m:f>
          <m:fPr>
            <m:ctrlPr>
              <w:rPr>
                <w:rFonts w:ascii="Cambria Math" w:hAnsi="Cambria Math"/>
                <w:i/>
              </w:rPr>
            </m:ctrlPr>
          </m:fPr>
          <m:num>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sSup>
              <m:sSupPr>
                <m:ctrlPr>
                  <w:rPr>
                    <w:rFonts w:ascii="Cambria Math" w:hAnsi="Cambria Math"/>
                    <w:i/>
                  </w:rPr>
                </m:ctrlPr>
              </m:sSupPr>
              <m:e>
                <m:r>
                  <w:rPr>
                    <w:rFonts w:ascii="Cambria Math" w:hAnsi="Cambria Math"/>
                  </w:rPr>
                  <m:t>e</m:t>
                </m:r>
              </m:e>
              <m:sup>
                <m:f>
                  <m:fPr>
                    <m:ctrlPr>
                      <w:rPr>
                        <w:rFonts w:ascii="Cambria Math" w:hAnsi="Cambria Math"/>
                        <w:i/>
                      </w:rPr>
                    </m:ctrlPr>
                  </m:fPr>
                  <m:num>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-t</m:t>
                    </m:r>
                  </m:num>
                  <m:den>
                    <m:r>
                      <w:rPr>
                        <w:rFonts w:ascii="Cambria Math" w:hAnsi="Cambria Math"/>
                      </w:rPr>
                      <m:t>τ</m:t>
                    </m:r>
                  </m:den>
                </m:f>
                <m:r>
                  <w:rPr>
                    <w:rFonts w:ascii="Cambria Math" w:hAnsi="Cambria Math"/>
                  </w:rPr>
                  <m:t>×</m:t>
                </m:r>
                <m:d>
                  <m:dPr>
                    <m:ctrlPr>
                      <w:rPr>
                        <w:rFonts w:ascii="Cambria Math" w:hAnsi="Cambria Math"/>
                        <w:i/>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sup>
            </m:sSup>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en>
        </m:f>
      </m:oMath>
      <w:r>
        <w:tab/>
      </w:r>
      <w:r w:rsidRPr="00445DD4">
        <w:t>(</w:t>
      </w:r>
      <w:bookmarkStart w:id="388" w:name="EQ_CLa_t_plus"/>
      <w:r>
        <w:fldChar w:fldCharType="begin"/>
      </w:r>
      <w:r>
        <w:instrText xml:space="preserve"> SEQ Eq \* MERGEFORMAT </w:instrText>
      </w:r>
      <w:r>
        <w:fldChar w:fldCharType="separate"/>
      </w:r>
      <w:r>
        <w:t>60</w:t>
      </w:r>
      <w:r>
        <w:fldChar w:fldCharType="end"/>
      </w:r>
      <w:bookmarkEnd w:id="388"/>
      <w:r w:rsidRPr="00445DD4">
        <w:t>)</w:t>
      </w:r>
    </w:p>
    <w:p w14:paraId="74D99069" w14:textId="77777777" w:rsidR="00D83CEF" w:rsidRDefault="00D83CEF" w:rsidP="00D83CEF">
      <w:r>
        <w:t xml:space="preserve">When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&lt;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 xml:space="preserve"> then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t xml:space="preserve"> results from</w:t>
      </w:r>
      <w:r w:rsidRPr="00BB7E97">
        <w:t xml:space="preserve"> </w:t>
      </w:r>
      <w:r>
        <w:t>equation </w:t>
      </w:r>
      <w:r>
        <w:fldChar w:fldCharType="begin"/>
      </w:r>
      <w:r>
        <w:instrText xml:space="preserve"> REF EQ_t0_adaptive_below \h </w:instrText>
      </w:r>
      <w:r>
        <w:fldChar w:fldCharType="separate"/>
      </w:r>
      <w:r>
        <w:rPr>
          <w:noProof/>
        </w:rPr>
        <w:t>61</w:t>
      </w:r>
      <w:r>
        <w:fldChar w:fldCharType="end"/>
      </w:r>
    </w:p>
    <w:p w14:paraId="59861064" w14:textId="77777777" w:rsidR="00D83CEF" w:rsidRPr="00445DD4" w:rsidRDefault="00D83CEF" w:rsidP="00D83CEF">
      <w:pPr>
        <w:pStyle w:val="EQ"/>
      </w:pPr>
      <w:r>
        <w:tab/>
      </w:r>
      <m:oMath>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m:t>
        </m:r>
        <m:f>
          <m:fPr>
            <m:ctrlPr>
              <w:rPr>
                <w:rFonts w:ascii="Cambria Math" w:hAnsi="Cambria Math"/>
                <w:i/>
              </w:rPr>
            </m:ctrlPr>
          </m:fPr>
          <m:num>
            <m:r>
              <w:rPr>
                <w:rFonts w:ascii="Cambria Math" w:hAnsi="Cambria Math"/>
              </w:rPr>
              <m:t>τ</m:t>
            </m:r>
          </m:num>
          <m:den>
            <m:r>
              <m:rPr>
                <m:sty m:val="p"/>
              </m:rPr>
              <w:rPr>
                <w:rFonts w:ascii="Cambria Math" w:hAnsi="Cambria Math"/>
              </w:rPr>
              <m:t>B</m:t>
            </m:r>
          </m:den>
        </m:f>
        <m: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hAnsi="Cambria Math"/>
                  </w:rPr>
                  <m:t>A-CL</m:t>
                </m:r>
              </m:e>
              <m:sub>
                <m:r>
                  <w:rPr>
                    <w:rFonts w:ascii="Cambria Math" w:hAnsi="Cambria Math"/>
                  </w:rPr>
                  <m:t>a</m:t>
                </m:r>
              </m:sub>
            </m:sSub>
            <m:d>
              <m:dPr>
                <m:ctrlPr>
                  <w:rPr>
                    <w:rFonts w:ascii="Cambria Math" w:hAnsi="Cambria Math"/>
                    <w:i/>
                  </w:rPr>
                </m:ctrlPr>
              </m:dPr>
              <m:e>
                <m:sSub>
                  <m:sSubPr>
                    <m:ctrlPr>
                      <w:rPr>
                        <w:rFonts w:ascii="Cambria Math" w:hAnsi="Cambria Math"/>
                        <w:i/>
                        <w:noProof w:val="0"/>
                      </w:rPr>
                    </m:ctrlPr>
                  </m:sSubPr>
                  <m:e>
                    <m:r>
                      <w:rPr>
                        <w:rFonts w:ascii="Cambria Math" w:hAnsi="Cambria Math"/>
                      </w:rPr>
                      <m:t>t</m:t>
                    </m:r>
                  </m:e>
                  <m:sub>
                    <m:r>
                      <w:rPr>
                        <w:rFonts w:ascii="Cambria Math" w:hAnsi="Cambria Math"/>
                      </w:rPr>
                      <m:t>0</m:t>
                    </m:r>
                  </m:sub>
                </m:sSub>
              </m:e>
            </m:d>
            <m:r>
              <w:rPr>
                <w:rFonts w:ascii="Cambria Math" w:hAnsi="Cambria Math"/>
              </w:rPr>
              <m:t>×B</m:t>
            </m:r>
          </m:e>
        </m:d>
      </m:oMath>
      <w:r>
        <w:tab/>
      </w:r>
      <w:r w:rsidRPr="00445DD4">
        <w:t>(</w:t>
      </w:r>
      <w:bookmarkStart w:id="389" w:name="EQ_t0_adaptive_below"/>
      <w:r>
        <w:fldChar w:fldCharType="begin"/>
      </w:r>
      <w:r>
        <w:instrText xml:space="preserve"> SEQ Eq \* MERGEFORMAT </w:instrText>
      </w:r>
      <w:r>
        <w:fldChar w:fldCharType="separate"/>
      </w:r>
      <w:r>
        <w:t>61</w:t>
      </w:r>
      <w:r>
        <w:fldChar w:fldCharType="end"/>
      </w:r>
      <w:bookmarkEnd w:id="389"/>
      <w:r w:rsidRPr="00445DD4">
        <w:t>)</w:t>
      </w:r>
    </w:p>
    <w:p w14:paraId="072FBD19" w14:textId="77777777" w:rsidR="00D83CEF" w:rsidRPr="00445DD4" w:rsidRDefault="00D83CEF" w:rsidP="00D83CEF">
      <w:pPr>
        <w:pStyle w:val="EQ"/>
      </w:pPr>
      <w:r>
        <w:tab/>
      </w:r>
      <m:oMath>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m:t>
        </m:r>
        <m:f>
          <m:fPr>
            <m:ctrlPr>
              <w:rPr>
                <w:rFonts w:ascii="Cambria Math" w:hAnsi="Cambria Math"/>
                <w:i/>
              </w:rPr>
            </m:ctrlPr>
          </m:fPr>
          <m:num>
            <m:r>
              <w:rPr>
                <w:rFonts w:ascii="Cambria Math" w:hAnsi="Cambria Math"/>
              </w:rPr>
              <m:t>τ</m:t>
            </m:r>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en>
        </m:f>
        <m: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noProof w:val="0"/>
                      </w:rPr>
                    </m:ctrlPr>
                  </m:sSubPr>
                  <m:e>
                    <m:r>
                      <w:rPr>
                        <w:rFonts w:ascii="Cambria Math" w:hAnsi="Cambria Math"/>
                      </w:rPr>
                      <m:t>t</m:t>
                    </m:r>
                  </m:e>
                  <m:sub>
                    <m:r>
                      <w:rPr>
                        <w:rFonts w:ascii="Cambria Math" w:hAnsi="Cambria Math"/>
                      </w:rPr>
                      <m:t>0</m:t>
                    </m:r>
                  </m:sub>
                </m:sSub>
              </m:e>
            </m:d>
            <m:r>
              <w:rPr>
                <w:rFonts w:ascii="Cambria Math" w:hAnsi="Cambria Math"/>
              </w:rPr>
              <m:t>×</m:t>
            </m:r>
            <m:d>
              <m:dPr>
                <m:ctrlPr>
                  <w:rPr>
                    <w:rFonts w:ascii="Cambria Math" w:hAnsi="Cambria Math"/>
                    <w:i/>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e>
        </m:d>
      </m:oMath>
      <w:r>
        <w:tab/>
      </w:r>
      <w:r w:rsidRPr="00445DD4">
        <w:t>(</w:t>
      </w:r>
      <w:bookmarkStart w:id="390" w:name="EQ_t0_adaptive_below_complete"/>
      <w:r>
        <w:fldChar w:fldCharType="begin"/>
      </w:r>
      <w:r>
        <w:instrText xml:space="preserve"> SEQ Eq \* MERGEFORMAT </w:instrText>
      </w:r>
      <w:r>
        <w:fldChar w:fldCharType="separate"/>
      </w:r>
      <w:r>
        <w:t>62</w:t>
      </w:r>
      <w:r>
        <w:fldChar w:fldCharType="end"/>
      </w:r>
      <w:bookmarkEnd w:id="390"/>
      <w:r w:rsidRPr="00445DD4">
        <w:t>)</w:t>
      </w:r>
    </w:p>
    <w:p w14:paraId="4D7629B8" w14:textId="77777777" w:rsidR="00D83CEF" w:rsidRDefault="00D83CEF" w:rsidP="00D83CEF">
      <w:r>
        <w:t xml:space="preserve">With </w:t>
      </w:r>
      <m:oMath>
        <m:sSubSup>
          <m:sSubSupPr>
            <m:ctrlPr>
              <w:rPr>
                <w:rFonts w:ascii="Cambria Math" w:hAnsi="Cambria Math"/>
                <w:i/>
              </w:rPr>
            </m:ctrlPr>
          </m:sSubSupPr>
          <m:e>
            <m:r>
              <w:rPr>
                <w:rFonts w:ascii="Cambria Math" w:hAnsi="Cambria Math"/>
              </w:rPr>
              <m:t>t</m:t>
            </m:r>
          </m:e>
          <m:sub>
            <m:r>
              <w:rPr>
                <w:rFonts w:ascii="Cambria Math" w:hAnsi="Cambria Math"/>
              </w:rPr>
              <m:t>0</m:t>
            </m:r>
          </m:sub>
          <m:sup>
            <m:r>
              <w:rPr>
                <w:rFonts w:ascii="Cambria Math" w:hAnsi="Cambria Math"/>
              </w:rPr>
              <m:t>-</m:t>
            </m:r>
          </m:sup>
        </m:sSubSup>
      </m:oMath>
      <w:r>
        <w:t xml:space="preserve"> from equation </w:t>
      </w:r>
      <w:r>
        <w:fldChar w:fldCharType="begin"/>
      </w:r>
      <w:r>
        <w:instrText xml:space="preserve"> REF EQ_t0_adaptive_below_complete \h </w:instrText>
      </w:r>
      <w:r>
        <w:fldChar w:fldCharType="separate"/>
      </w:r>
      <w:r>
        <w:rPr>
          <w:noProof/>
        </w:rPr>
        <w:t>62</w:t>
      </w:r>
      <w:r>
        <w:fldChar w:fldCharType="end"/>
      </w:r>
      <w:r>
        <w:t xml:space="preserve">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t</m:t>
            </m:r>
          </m:e>
        </m:d>
      </m:oMath>
      <w:r>
        <w:t xml:space="preserve"> results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&lt;</m:t>
        </m:r>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rsidRPr="00BB7E97">
        <w:t xml:space="preserve"> </w:t>
      </w:r>
      <w:r>
        <w:t>from equation </w:t>
      </w:r>
      <w:r>
        <w:fldChar w:fldCharType="begin"/>
      </w:r>
      <w:r>
        <w:instrText xml:space="preserve"> REF EQ_CLa_t_minus \h </w:instrText>
      </w:r>
      <w:r>
        <w:fldChar w:fldCharType="separate"/>
      </w:r>
      <w:r>
        <w:rPr>
          <w:noProof/>
        </w:rPr>
        <w:t>63</w:t>
      </w:r>
      <w:r>
        <w:fldChar w:fldCharType="end"/>
      </w:r>
      <w:r>
        <w:t>.</w:t>
      </w:r>
    </w:p>
    <w:p w14:paraId="492B562E" w14:textId="77777777" w:rsidR="00D83CEF" w:rsidRPr="00445DD4" w:rsidRDefault="00D83CEF" w:rsidP="00D83CEF">
      <w:pPr>
        <w:pStyle w:val="EQ"/>
      </w:pPr>
      <w:r>
        <w:tab/>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noProof w:val="0"/>
              </w:rPr>
              <m:t>t</m:t>
            </m:r>
          </m:e>
        </m:d>
        <m:r>
          <w:rPr>
            <w:rFonts w:ascii="Cambria Math" w:hAnsi="Cambria Math"/>
          </w:rPr>
          <m:t>=</m:t>
        </m:r>
        <m:f>
          <m:fPr>
            <m:ctrlPr>
              <w:rPr>
                <w:rFonts w:ascii="Cambria Math" w:hAnsi="Cambria Math"/>
                <w:i/>
              </w:rPr>
            </m:ctrlPr>
          </m:fPr>
          <m:num>
            <m:r>
              <w:rPr>
                <w:rFonts w:ascii="Cambria Math" w:hAnsi="Cambria Math"/>
              </w:rPr>
              <m:t>A-</m:t>
            </m:r>
            <m:sSup>
              <m:sSupPr>
                <m:ctrlPr>
                  <w:rPr>
                    <w:rFonts w:ascii="Cambria Math" w:hAnsi="Cambria Math"/>
                    <w:i/>
                  </w:rPr>
                </m:ctrlPr>
              </m:sSupPr>
              <m:e>
                <m:r>
                  <w:rPr>
                    <w:rFonts w:ascii="Cambria Math" w:hAnsi="Cambria Math"/>
                  </w:rPr>
                  <m:t>e</m:t>
                </m:r>
              </m:e>
              <m:sup>
                <m:r>
                  <w:rPr>
                    <w:rFonts w:ascii="Cambria Math" w:hAnsi="Cambria Math"/>
                  </w:rPr>
                  <m:t>B×</m:t>
                </m:r>
                <m:f>
                  <m:fPr>
                    <m:ctrlPr>
                      <w:rPr>
                        <w:rFonts w:ascii="Cambria Math" w:hAnsi="Cambria Math"/>
                        <w:i/>
                      </w:rPr>
                    </m:ctrlPr>
                  </m:fPr>
                  <m:num>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-t</m:t>
                    </m:r>
                  </m:num>
                  <m:den>
                    <m:r>
                      <w:rPr>
                        <w:rFonts w:ascii="Cambria Math" w:hAnsi="Cambria Math"/>
                      </w:rPr>
                      <m:t>τ</m:t>
                    </m:r>
                  </m:den>
                </m:f>
              </m:sup>
            </m:sSup>
          </m:num>
          <m:den>
            <m:r>
              <m:rPr>
                <m:sty m:val="p"/>
              </m:rPr>
              <w:rPr>
                <w:rFonts w:ascii="Cambria Math" w:hAnsi="Cambria Math"/>
              </w:rPr>
              <m:t>B</m:t>
            </m:r>
          </m:den>
        </m:f>
        <m:r>
          <w:rPr>
            <w:rFonts w:ascii="Cambria Math" w:hAnsi="Cambria Math"/>
          </w:rPr>
          <m:t>=</m:t>
        </m:r>
        <m:f>
          <m:fPr>
            <m:ctrlPr>
              <w:rPr>
                <w:rFonts w:ascii="Cambria Math" w:hAnsi="Cambria Math"/>
                <w:i/>
              </w:rPr>
            </m:ctrlPr>
          </m:fPr>
          <m:num>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sSup>
              <m:sSupPr>
                <m:ctrlPr>
                  <w:rPr>
                    <w:rFonts w:ascii="Cambria Math" w:hAnsi="Cambria Math"/>
                    <w:i/>
                  </w:rPr>
                </m:ctrlPr>
              </m:sSupPr>
              <m:e>
                <m:r>
                  <w:rPr>
                    <w:rFonts w:ascii="Cambria Math" w:hAnsi="Cambria Math"/>
                  </w:rPr>
                  <m:t>e</m:t>
                </m:r>
              </m:e>
              <m:sup>
                <m:f>
                  <m:fPr>
                    <m:ctrlPr>
                      <w:rPr>
                        <w:rFonts w:ascii="Cambria Math" w:hAnsi="Cambria Math"/>
                        <w:i/>
                      </w:rPr>
                    </m:ctrlPr>
                  </m:fPr>
                  <m:num>
                    <m:sSubSup>
                      <m:sSubSupPr>
                        <m:ctrlPr>
                          <w:rPr>
                            <w:rFonts w:ascii="Cambria Math" w:hAnsi="Cambria Math"/>
                            <w:i/>
                            <w:noProof w:val="0"/>
                          </w:rPr>
                        </m:ctrlPr>
                      </m:sSubSupPr>
                      <m:e>
                        <m:r>
                          <w:rPr>
                            <w:rFonts w:ascii="Cambria Math" w:hAnsi="Cambria Math"/>
                          </w:rPr>
                          <m:t>t</m:t>
                        </m:r>
                      </m:e>
                      <m:sub>
                        <m:r>
                          <w:rPr>
                            <w:rFonts w:ascii="Cambria Math" w:hAnsi="Cambria Math"/>
                          </w:rPr>
                          <m:t>0</m:t>
                        </m:r>
                      </m:sub>
                      <m:sup>
                        <m:r>
                          <w:rPr>
                            <w:rFonts w:ascii="Cambria Math" w:hAnsi="Cambria Math"/>
                          </w:rPr>
                          <m:t>-</m:t>
                        </m:r>
                      </m:sup>
                    </m:sSubSup>
                    <m:r>
                      <w:rPr>
                        <w:rFonts w:ascii="Cambria Math" w:hAnsi="Cambria Math"/>
                      </w:rPr>
                      <m:t>-t</m:t>
                    </m:r>
                  </m:num>
                  <m:den>
                    <m:r>
                      <w:rPr>
                        <w:rFonts w:ascii="Cambria Math" w:hAnsi="Cambria Math"/>
                      </w:rPr>
                      <m:t>τ</m:t>
                    </m:r>
                  </m:den>
                </m:f>
                <m:r>
                  <w:rPr>
                    <w:rFonts w:ascii="Cambria Math" w:hAnsi="Cambria Math"/>
                  </w:rPr>
                  <m:t>×</m:t>
                </m:r>
                <m:d>
                  <m:dPr>
                    <m:ctrlPr>
                      <w:rPr>
                        <w:rFonts w:ascii="Cambria Math" w:hAnsi="Cambria Math"/>
                        <w:i/>
                      </w:rPr>
                    </m:ctrlPr>
                  </m:dPr>
                  <m:e>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sup>
            </m:sSup>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en>
        </m:f>
      </m:oMath>
      <w:r>
        <w:tab/>
      </w:r>
      <w:r w:rsidRPr="00445DD4">
        <w:t>(</w:t>
      </w:r>
      <w:bookmarkStart w:id="391" w:name="EQ_CLa_t_minus"/>
      <w:r>
        <w:fldChar w:fldCharType="begin"/>
      </w:r>
      <w:r>
        <w:instrText xml:space="preserve"> SEQ Eq \* MERGEFORMAT </w:instrText>
      </w:r>
      <w:r>
        <w:fldChar w:fldCharType="separate"/>
      </w:r>
      <w:r>
        <w:t>63</w:t>
      </w:r>
      <w:r>
        <w:fldChar w:fldCharType="end"/>
      </w:r>
      <w:bookmarkEnd w:id="391"/>
      <w:r w:rsidRPr="00445DD4">
        <w:t>)</w:t>
      </w:r>
    </w:p>
    <w:p w14:paraId="1E95F07D" w14:textId="77777777" w:rsidR="00D83CEF" w:rsidRDefault="00D83CEF" w:rsidP="00D83CEF">
      <w:pPr>
        <w:pStyle w:val="Heading4"/>
      </w:pPr>
      <w:bookmarkStart w:id="392" w:name="Cls_adaptive_Stability"/>
      <w:bookmarkStart w:id="393" w:name="_Toc196916032"/>
      <w:bookmarkStart w:id="394" w:name="_Toc197337088"/>
      <w:r>
        <w:t>C.2.2.2</w:t>
      </w:r>
      <w:bookmarkEnd w:id="392"/>
      <w:r>
        <w:tab/>
        <w:t>Stability of the discrete time adaptive congestion control</w:t>
      </w:r>
      <w:bookmarkEnd w:id="393"/>
      <w:bookmarkEnd w:id="394"/>
    </w:p>
    <w:p w14:paraId="7937B3B6" w14:textId="77777777" w:rsidR="00D83CEF" w:rsidRDefault="00D83CEF" w:rsidP="00D83CEF">
      <w:r>
        <w:t>For calculating the stability criterium given in equation </w:t>
      </w:r>
      <w:r>
        <w:fldChar w:fldCharType="begin"/>
      </w:r>
      <w:r>
        <w:instrText xml:space="preserve"> REF EQ_stability_criteria \h </w:instrText>
      </w:r>
      <w:r>
        <w:fldChar w:fldCharType="separate"/>
      </w:r>
      <w:r>
        <w:rPr>
          <w:noProof/>
        </w:rPr>
        <w:t>22</w:t>
      </w:r>
      <w:r>
        <w:fldChar w:fldCharType="end"/>
      </w:r>
      <w:r>
        <w:t xml:space="preserve"> the control function c</w:t>
      </w:r>
      <w:r>
        <w:rPr>
          <w:vertAlign w:val="subscript"/>
        </w:rPr>
        <w:t>fn</w:t>
      </w:r>
      <w:r>
        <w:t>, the filtering function f</w:t>
      </w:r>
      <w:r>
        <w:rPr>
          <w:vertAlign w:val="subscript"/>
        </w:rPr>
        <w:t>fn</w:t>
      </w:r>
      <w:r>
        <w:t xml:space="preserve">, and the equilibrium channel utilisation </w:t>
      </w:r>
      <m:oMath>
        <m:acc>
          <m:accPr>
            <m:chr m:val="̃"/>
            <m:ctrlPr>
              <w:rPr>
                <w:rFonts w:ascii="Cambria Math" w:hAnsi="Cambria Math"/>
                <w:i/>
              </w:rPr>
            </m:ctrlPr>
          </m:accPr>
          <m:e>
            <m:r>
              <w:rPr>
                <w:rFonts w:ascii="Cambria Math" w:hAnsi="Cambria Math"/>
              </w:rPr>
              <m:t>u</m:t>
            </m:r>
          </m:e>
        </m:acc>
      </m:oMath>
      <w:r>
        <w:t xml:space="preserve"> of the adaptive congestion control is needed.</w:t>
      </w:r>
    </w:p>
    <w:p w14:paraId="68F6582F" w14:textId="77777777" w:rsidR="00D83CEF" w:rsidRPr="008568B2" w:rsidRDefault="00D83CEF" w:rsidP="00D83CEF">
      <w:r>
        <w:t xml:space="preserve">From </w:t>
      </w:r>
      <w:r w:rsidRPr="00C53B80">
        <w:t>equation </w:t>
      </w:r>
      <w:r>
        <w:fldChar w:fldCharType="begin"/>
      </w:r>
      <w:r w:rsidRPr="00C53B80">
        <w:instrText xml:space="preserve"> REF EQ_rj_CBR_LIMERIC \h </w:instrText>
      </w:r>
      <w:r>
        <w:fldChar w:fldCharType="separate"/>
      </w:r>
      <w:r>
        <w:rPr>
          <w:noProof/>
        </w:rPr>
        <w:t>45</w:t>
      </w:r>
      <w:r>
        <w:fldChar w:fldCharType="end"/>
      </w:r>
      <w:r>
        <w:t xml:space="preserve"> and equation </w:t>
      </w:r>
      <w:r>
        <w:fldChar w:fldCharType="begin"/>
      </w:r>
      <w:r>
        <w:instrText xml:space="preserve"> REF EQ_u_adaptive \h </w:instrText>
      </w:r>
      <w:r>
        <w:fldChar w:fldCharType="separate"/>
      </w:r>
      <w:r>
        <w:rPr>
          <w:noProof/>
        </w:rPr>
        <w:t>46</w:t>
      </w:r>
      <w:r>
        <w:fldChar w:fldCharType="end"/>
      </w:r>
      <w:r>
        <w:t xml:space="preserve"> the control equation of the adaptive congestion control as function of the channel utilization </w:t>
      </w:r>
      <w:r w:rsidRPr="00E84942">
        <w:rPr>
          <w:i/>
        </w:rPr>
        <w:t>u</w:t>
      </w:r>
      <w:r>
        <w:rPr>
          <w:i/>
          <w:vertAlign w:val="subscript"/>
        </w:rPr>
        <w:t>a</w:t>
      </w:r>
      <w:r>
        <w:t xml:space="preserve"> can be calculated.</w:t>
      </w:r>
    </w:p>
    <w:p w14:paraId="4DA1E1B5" w14:textId="77777777" w:rsidR="00D83CEF" w:rsidRPr="00445DD4" w:rsidRDefault="00D83CEF" w:rsidP="00D83CEF">
      <w:pPr>
        <w:pStyle w:val="EQ"/>
      </w:pPr>
      <w:r>
        <w:tab/>
      </w:r>
      <m:oMath>
        <m:sSub>
          <m:sSubPr>
            <m:ctrlPr>
              <w:rPr>
                <w:rFonts w:ascii="Cambria Math" w:hAnsi="Cambria Math"/>
              </w:rPr>
            </m:ctrlPr>
          </m:sSubPr>
          <m:e>
            <m:r>
              <w:rPr>
                <w:rFonts w:ascii="Cambria Math" w:hAnsi="Cambria Math"/>
              </w:rPr>
              <m:t>u</m:t>
            </m:r>
          </m:e>
          <m:sub>
            <m:r>
              <w:rPr>
                <w:rFonts w:ascii="Cambria Math" w:hAnsi="Cambria Math"/>
              </w:rPr>
              <m:t>aj</m:t>
            </m:r>
          </m:sub>
        </m:sSub>
        <m:d>
          <m:dPr>
            <m:ctrlPr>
              <w:rPr>
                <w:rFonts w:ascii="Cambria Math" w:hAnsi="Cambria Math"/>
              </w:rPr>
            </m:ctrlPr>
          </m:dPr>
          <m:e>
            <m:r>
              <w:rPr>
                <w:rFonts w:ascii="Cambria Math" w:hAnsi="Cambria Math"/>
              </w:rPr>
              <m:t>t</m:t>
            </m:r>
          </m:e>
        </m:d>
        <m:r>
          <m:rPr>
            <m:sty m:val="p"/>
          </m:rPr>
          <w:rPr>
            <w:rFonts w:ascii="Cambria Math" w:hAnsi="Cambria Math"/>
          </w:rPr>
          <m:t>=</m:t>
        </m:r>
        <m:d>
          <m:dPr>
            <m:ctrlPr>
              <w:rPr>
                <w:rFonts w:ascii="Cambria Math" w:hAnsi="Cambria Math"/>
              </w:rPr>
            </m:ctrlPr>
          </m:dPr>
          <m:e>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aj</m:t>
            </m:r>
          </m:sub>
        </m:sSub>
        <m:d>
          <m:dPr>
            <m:ctrlPr>
              <w:rPr>
                <w:rFonts w:ascii="Cambria Math" w:hAnsi="Cambria Math"/>
              </w:rPr>
            </m:ctrlPr>
          </m:dPr>
          <m:e>
            <m:r>
              <w:rPr>
                <w:rFonts w:ascii="Cambria Math" w:hAnsi="Cambria Math"/>
              </w:rPr>
              <m:t>t</m:t>
            </m:r>
            <m:r>
              <m:rPr>
                <m:sty m:val="p"/>
              </m:rPr>
              <w:rPr>
                <w:rFonts w:ascii="Cambria Math" w:hAnsi="Cambria Math"/>
              </w:rPr>
              <m:t>-τ</m:t>
            </m:r>
          </m:e>
        </m:d>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r>
              <w:rPr>
                <w:rFonts w:ascii="Cambria Math" w:hAnsi="Cambria Math"/>
              </w:rPr>
              <m:t>CBR</m:t>
            </m:r>
            <m:d>
              <m:dPr>
                <m:ctrlPr>
                  <w:rPr>
                    <w:rFonts w:ascii="Cambria Math" w:hAnsi="Cambria Math"/>
                  </w:rPr>
                </m:ctrlPr>
              </m:dPr>
              <m:e>
                <m:r>
                  <w:rPr>
                    <w:rFonts w:ascii="Cambria Math" w:hAnsi="Cambria Math"/>
                  </w:rPr>
                  <m:t>t</m:t>
                </m:r>
                <m:r>
                  <m:rPr>
                    <m:sty m:val="p"/>
                  </m:rPr>
                  <w:rPr>
                    <w:rFonts w:ascii="Cambria Math" w:hAnsi="Cambria Math"/>
                  </w:rPr>
                  <m:t>-τ</m:t>
                </m:r>
              </m:e>
            </m:d>
          </m:e>
        </m:d>
      </m:oMath>
      <w:r>
        <w:tab/>
      </w:r>
      <w:r w:rsidRPr="00445DD4">
        <w:t>(</w:t>
      </w:r>
      <w:bookmarkStart w:id="395" w:name="EQ_u_adaptive_full"/>
      <w:r w:rsidRPr="00445DD4">
        <w:fldChar w:fldCharType="begin"/>
      </w:r>
      <w:r w:rsidRPr="00445DD4">
        <w:instrText xml:space="preserve"> SEQ Eq \* MERGEFORMAT </w:instrText>
      </w:r>
      <w:r w:rsidRPr="00445DD4">
        <w:fldChar w:fldCharType="separate"/>
      </w:r>
      <w:r>
        <w:t>64</w:t>
      </w:r>
      <w:r w:rsidRPr="00445DD4">
        <w:fldChar w:fldCharType="end"/>
      </w:r>
      <w:bookmarkEnd w:id="395"/>
      <w:r w:rsidRPr="00445DD4">
        <w:t>)</w:t>
      </w:r>
    </w:p>
    <w:p w14:paraId="565CC667" w14:textId="77777777" w:rsidR="00D83CEF" w:rsidRPr="00186C3C" w:rsidRDefault="00D83CEF" w:rsidP="00D83CEF">
      <w:pPr>
        <w:rPr>
          <w:highlight w:val="yellow"/>
        </w:rPr>
      </w:pPr>
      <w:r>
        <w:t>From</w:t>
      </w:r>
      <w:r w:rsidRPr="001F35CE">
        <w:t xml:space="preserve"> </w:t>
      </w:r>
      <w:r>
        <w:t>equation </w:t>
      </w:r>
      <w:r>
        <w:fldChar w:fldCharType="begin"/>
      </w:r>
      <w:r>
        <w:instrText xml:space="preserve"> REF EQ_umax_t \h </w:instrText>
      </w:r>
      <w:r>
        <w:fldChar w:fldCharType="separate"/>
      </w:r>
      <w:r>
        <w:rPr>
          <w:noProof/>
        </w:rPr>
        <w:t>11</w:t>
      </w:r>
      <w:r>
        <w:fldChar w:fldCharType="end"/>
      </w:r>
      <w:r>
        <w:t xml:space="preserve"> and equation </w:t>
      </w:r>
      <w:r>
        <w:fldChar w:fldCharType="begin"/>
      </w:r>
      <w:r>
        <w:instrText xml:space="preserve"> REF EQ_u_adaptive_full \h </w:instrText>
      </w:r>
      <w:r>
        <w:fldChar w:fldCharType="separate"/>
      </w:r>
      <w:r>
        <w:rPr>
          <w:noProof/>
        </w:rPr>
        <w:t>64</w:t>
      </w:r>
      <w:r>
        <w:fldChar w:fldCharType="end"/>
      </w:r>
      <w:r>
        <w:t xml:space="preserve"> it follows that the filter function of the adaptive congestion control </w:t>
      </w:r>
      <m:oMath>
        <m:sSub>
          <m:sSubPr>
            <m:ctrlPr>
              <w:rPr>
                <w:rFonts w:ascii="Cambria Math" w:hAnsi="Cambria Math"/>
                <w:noProof/>
              </w:rPr>
            </m:ctrlPr>
          </m:sSubPr>
          <m:e>
            <m:sSub>
              <m:sSubPr>
                <m:ctrlPr>
                  <w:rPr>
                    <w:rFonts w:ascii="Cambria Math" w:hAnsi="Cambria Math"/>
                  </w:rPr>
                </m:ctrlPr>
              </m:sSubPr>
              <m:e>
                <m:r>
                  <m:rPr>
                    <m:nor/>
                  </m:rPr>
                  <w:rPr>
                    <w:rFonts w:ascii="Cambria Math" w:hAnsi="Cambria Math"/>
                  </w:rPr>
                  <m:t>f</m:t>
                </m:r>
              </m:e>
              <m:sub>
                <m:r>
                  <m:rPr>
                    <m:nor/>
                  </m:rPr>
                  <w:rPr>
                    <w:rFonts w:ascii="Cambria Math" w:hAnsi="Cambria Math"/>
                  </w:rPr>
                  <m:t>fn</m:t>
                </m:r>
              </m:sub>
            </m:sSub>
          </m:e>
          <m:sub>
            <m:r>
              <w:rPr>
                <w:rFonts w:ascii="Cambria Math" w:hAnsi="Cambria Math"/>
              </w:rPr>
              <m:t>a</m:t>
            </m:r>
          </m:sub>
        </m:sSub>
      </m:oMath>
      <w:r>
        <w:t xml:space="preserve"> is constant and equal to one. </w:t>
      </w:r>
    </w:p>
    <w:p w14:paraId="40343B9A" w14:textId="77777777" w:rsidR="00D83CEF" w:rsidRPr="00445DD4" w:rsidRDefault="00D83CEF" w:rsidP="00D83CEF">
      <w:pPr>
        <w:pStyle w:val="EQ"/>
      </w:pPr>
      <w:r>
        <w:rPr>
          <w:noProof w:val="0"/>
        </w:rPr>
        <w:tab/>
      </w:r>
      <m:oMath>
        <m:sSub>
          <m:sSubPr>
            <m:ctrlPr>
              <w:rPr>
                <w:rFonts w:ascii="Cambria Math" w:hAnsi="Cambria Math"/>
              </w:rPr>
            </m:ctrlPr>
          </m:sSubPr>
          <m:e>
            <m:sSub>
              <m:sSubPr>
                <m:ctrlPr>
                  <w:rPr>
                    <w:rFonts w:ascii="Cambria Math" w:hAnsi="Cambria Math"/>
                  </w:rPr>
                </m:ctrlPr>
              </m:sSubPr>
              <m:e>
                <m:r>
                  <m:rPr>
                    <m:nor/>
                  </m:rPr>
                  <w:rPr>
                    <w:rFonts w:ascii="Cambria Math" w:hAnsi="Cambria Math"/>
                  </w:rPr>
                  <m:t>f</m:t>
                </m:r>
              </m:e>
              <m:sub>
                <m:r>
                  <m:rPr>
                    <m:nor/>
                  </m:rPr>
                  <w:rPr>
                    <w:rFonts w:ascii="Cambria Math" w:hAnsi="Cambria Math"/>
                  </w:rPr>
                  <m:t>fn</m:t>
                </m:r>
              </m:sub>
            </m:sSub>
          </m:e>
          <m:sub>
            <m:r>
              <w:rPr>
                <w:rFonts w:ascii="Cambria Math" w:hAnsi="Cambria Math"/>
              </w:rPr>
              <m:t>a</m:t>
            </m:r>
          </m:sub>
        </m:sSub>
        <m:d>
          <m:dPr>
            <m:ctrlPr>
              <w:rPr>
                <w:rFonts w:ascii="Cambria Math" w:hAnsi="Cambria Math"/>
              </w:rPr>
            </m:ctrlPr>
          </m:dPr>
          <m:e>
            <m:r>
              <w:rPr>
                <w:rFonts w:ascii="Cambria Math" w:hAnsi="Cambria Math"/>
              </w:rPr>
              <m:t>CL</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e>
        </m:d>
        <m:r>
          <m:rPr>
            <m:sty m:val="p"/>
          </m:rPr>
          <w:rPr>
            <w:rFonts w:ascii="Cambria Math" w:hAnsi="Cambria Math"/>
          </w:rPr>
          <m:t>=</m:t>
        </m:r>
        <m:r>
          <w:rPr>
            <w:rFonts w:ascii="Cambria Math" w:hAnsi="Cambria Math"/>
          </w:rPr>
          <m:t>1</m:t>
        </m:r>
      </m:oMath>
      <w:r w:rsidRPr="00445DD4">
        <w:tab/>
        <w:t>(</w:t>
      </w:r>
      <w:bookmarkStart w:id="396" w:name="EQ_ffna"/>
      <w:r w:rsidRPr="00445DD4">
        <w:fldChar w:fldCharType="begin"/>
      </w:r>
      <w:r w:rsidRPr="00445DD4">
        <w:instrText xml:space="preserve"> SEQ Eq \* MERGEFORMAT </w:instrText>
      </w:r>
      <w:r w:rsidRPr="00445DD4">
        <w:fldChar w:fldCharType="separate"/>
      </w:r>
      <w:r>
        <w:t>65</w:t>
      </w:r>
      <w:r w:rsidRPr="00445DD4">
        <w:fldChar w:fldCharType="end"/>
      </w:r>
      <w:bookmarkEnd w:id="396"/>
      <w:r w:rsidRPr="00445DD4">
        <w:t>)</w:t>
      </w:r>
    </w:p>
    <w:p w14:paraId="2EDF6926" w14:textId="77777777" w:rsidR="00D83CEF" w:rsidRDefault="00D83CEF" w:rsidP="00D83CEF">
      <w:r>
        <w:t>With equation </w:t>
      </w:r>
      <w:r>
        <w:fldChar w:fldCharType="begin"/>
      </w:r>
      <w:r>
        <w:instrText xml:space="preserve"> REF EQ_ffna \h </w:instrText>
      </w:r>
      <w:r>
        <w:fldChar w:fldCharType="separate"/>
      </w:r>
      <w:r>
        <w:rPr>
          <w:noProof/>
        </w:rPr>
        <w:t>65</w:t>
      </w:r>
      <w:r>
        <w:fldChar w:fldCharType="end"/>
      </w:r>
      <w:r>
        <w:t xml:space="preserve"> equation </w:t>
      </w:r>
      <w:r>
        <w:fldChar w:fldCharType="begin"/>
      </w:r>
      <w:r>
        <w:instrText xml:space="preserve"> REF EQ_umax_t \h </w:instrText>
      </w:r>
      <w:r>
        <w:fldChar w:fldCharType="separate"/>
      </w:r>
      <w:r>
        <w:rPr>
          <w:noProof/>
        </w:rPr>
        <w:t>11</w:t>
      </w:r>
      <w:r>
        <w:fldChar w:fldCharType="end"/>
      </w:r>
      <w:r>
        <w:t xml:space="preserve"> simplifies to</w:t>
      </w:r>
    </w:p>
    <w:p w14:paraId="4BD1A75A" w14:textId="77777777" w:rsidR="00D83CEF" w:rsidRPr="00445DD4" w:rsidRDefault="00D83CEF" w:rsidP="00D83CEF">
      <w:pPr>
        <w:pStyle w:val="EQ"/>
      </w:pPr>
      <w:r>
        <w:rPr>
          <w:noProof w:val="0"/>
        </w:rPr>
        <w:tab/>
      </w:r>
      <m:oMath>
        <m:sSub>
          <m:sSubPr>
            <m:ctrlPr>
              <w:rPr>
                <w:rFonts w:ascii="Cambria Math" w:hAnsi="Cambria Math"/>
              </w:rPr>
            </m:ctrlPr>
          </m:sSubPr>
          <m:e>
            <m:r>
              <w:rPr>
                <w:rFonts w:ascii="Cambria Math" w:hAnsi="Cambria Math"/>
              </w:rPr>
              <m:t>u</m:t>
            </m:r>
          </m:e>
          <m:sub>
            <m:r>
              <w:rPr>
                <w:rFonts w:ascii="Cambria Math" w:hAnsi="Cambria Math"/>
              </w:rPr>
              <m:t>aj</m:t>
            </m:r>
          </m:sub>
        </m:sSub>
        <m:d>
          <m:dPr>
            <m:ctrlPr>
              <w:rPr>
                <w:rFonts w:ascii="Cambria Math" w:hAnsi="Cambria Math"/>
              </w:rPr>
            </m:ctrlPr>
          </m:dPr>
          <m:e>
            <m:r>
              <w:rPr>
                <w:rFonts w:ascii="Cambria Math" w:hAnsi="Cambria Math"/>
              </w:rPr>
              <m:t>t</m:t>
            </m:r>
          </m:e>
        </m:d>
        <m:r>
          <m:rPr>
            <m:sty m:val="p"/>
          </m:rPr>
          <w:rPr>
            <w:rFonts w:ascii="Cambria Math" w:hAnsi="Cambria Math"/>
          </w:rPr>
          <m:t>=</m:t>
        </m:r>
        <m:r>
          <w:rPr>
            <w:rFonts w:ascii="Cambria Math" w:hAnsi="Cambria Math"/>
          </w:rPr>
          <m:t>α</m:t>
        </m:r>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m:rPr>
                    <m:nor/>
                  </m:rPr>
                  <w:rPr>
                    <w:rFonts w:ascii="Cambria Math" w:hAnsi="Cambria Math"/>
                  </w:rPr>
                  <m:t>c</m:t>
                </m:r>
              </m:e>
              <m:sub>
                <m:r>
                  <m:rPr>
                    <m:nor/>
                  </m:rPr>
                  <w:rPr>
                    <w:rFonts w:ascii="Cambria Math" w:hAnsi="Cambria Math"/>
                  </w:rPr>
                  <m:t>fn</m:t>
                </m:r>
              </m:sub>
            </m:sSub>
          </m:e>
          <m:sub>
            <m:r>
              <w:rPr>
                <w:rFonts w:ascii="Cambria Math" w:hAnsi="Cambria Math"/>
              </w:rPr>
              <m:t>a</m:t>
            </m:r>
          </m:sub>
        </m:sSub>
        <m:d>
          <m:dPr>
            <m:ctrlPr>
              <w:rPr>
                <w:rFonts w:ascii="Cambria Math" w:hAnsi="Cambria Math"/>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e>
        </m:d>
        <m:r>
          <m:rPr>
            <m:sty m:val="p"/>
          </m:rPr>
          <w:rPr>
            <w:rFonts w:ascii="Cambria Math" w:hAnsi="Cambria Math"/>
          </w:rPr>
          <m:t>+</m:t>
        </m:r>
        <m:d>
          <m:dPr>
            <m:ctrlPr>
              <w:rPr>
                <w:rFonts w:ascii="Cambria Math" w:hAnsi="Cambria Math"/>
              </w:rPr>
            </m:ctrlPr>
          </m:dPr>
          <m:e>
            <m:r>
              <m:rPr>
                <m:sty m:val="p"/>
              </m:rPr>
              <w:rPr>
                <w:rFonts w:ascii="Cambria Math" w:hAnsi="Cambria Math"/>
              </w:rPr>
              <m:t>1-</m:t>
            </m:r>
            <m:r>
              <w:rPr>
                <w:rFonts w:ascii="Cambria Math" w:hAnsi="Cambria Math"/>
              </w:rPr>
              <m:t>α</m:t>
            </m:r>
          </m:e>
        </m:d>
        <m:r>
          <m:rPr>
            <m:sty m:val="p"/>
          </m:rP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aj</m:t>
            </m:r>
          </m:sub>
        </m:sSub>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τ</m:t>
            </m:r>
          </m:e>
        </m:d>
      </m:oMath>
      <w:r>
        <w:rPr>
          <w:noProof w:val="0"/>
        </w:rPr>
        <w:t>.</w:t>
      </w:r>
      <w:r w:rsidRPr="00445DD4">
        <w:tab/>
        <w:t>(</w:t>
      </w:r>
      <w:bookmarkStart w:id="397" w:name="EQ_uaj"/>
      <w:r w:rsidRPr="00445DD4">
        <w:fldChar w:fldCharType="begin"/>
      </w:r>
      <w:r w:rsidRPr="00445DD4">
        <w:instrText xml:space="preserve"> SEQ Eq \* MERGEFORMAT </w:instrText>
      </w:r>
      <w:r w:rsidRPr="00445DD4">
        <w:fldChar w:fldCharType="separate"/>
      </w:r>
      <w:r>
        <w:t>66</w:t>
      </w:r>
      <w:r w:rsidRPr="00445DD4">
        <w:fldChar w:fldCharType="end"/>
      </w:r>
      <w:bookmarkEnd w:id="397"/>
      <w:r w:rsidRPr="00445DD4">
        <w:t>)</w:t>
      </w:r>
    </w:p>
    <w:p w14:paraId="450E0BA6" w14:textId="77777777" w:rsidR="00D83CEF" w:rsidRDefault="00D83CEF" w:rsidP="00D83CEF">
      <w:r w:rsidRPr="004A1DAC">
        <w:t>From</w:t>
      </w:r>
      <w:r>
        <w:t xml:space="preserve"> equation </w:t>
      </w:r>
      <w:r>
        <w:fldChar w:fldCharType="begin"/>
      </w:r>
      <w:r>
        <w:instrText xml:space="preserve"> REF EQ_u_adaptive_full \h </w:instrText>
      </w:r>
      <w:r>
        <w:fldChar w:fldCharType="separate"/>
      </w:r>
      <w:r>
        <w:rPr>
          <w:noProof/>
        </w:rPr>
        <w:t>64</w:t>
      </w:r>
      <w:r>
        <w:fldChar w:fldCharType="end"/>
      </w:r>
      <w:r>
        <w:t xml:space="preserve"> and equation </w:t>
      </w:r>
      <w:r>
        <w:fldChar w:fldCharType="begin"/>
      </w:r>
      <w:r>
        <w:instrText xml:space="preserve"> REF EQ_uaj \h </w:instrText>
      </w:r>
      <w:r>
        <w:fldChar w:fldCharType="separate"/>
      </w:r>
      <w:r>
        <w:rPr>
          <w:noProof/>
        </w:rPr>
        <w:t>66</w:t>
      </w:r>
      <w:r>
        <w:fldChar w:fldCharType="end"/>
      </w:r>
      <w:r>
        <w:t xml:space="preserve"> the control function for the adaptive congestion control </w:t>
      </w:r>
      <m:oMath>
        <m:sSub>
          <m:sSubPr>
            <m:ctrlPr>
              <w:rPr>
                <w:rFonts w:ascii="Cambria Math" w:hAnsi="Cambria Math"/>
                <w:noProof/>
              </w:rPr>
            </m:ctrlPr>
          </m:sSubPr>
          <m:e>
            <m:sSub>
              <m:sSubPr>
                <m:ctrlPr>
                  <w:rPr>
                    <w:rFonts w:ascii="Cambria Math" w:hAnsi="Cambria Math"/>
                  </w:rPr>
                </m:ctrlPr>
              </m:sSubPr>
              <m:e>
                <m:r>
                  <m:rPr>
                    <m:nor/>
                  </m:rPr>
                  <w:rPr>
                    <w:rFonts w:ascii="Cambria Math" w:hAnsi="Cambria Math"/>
                  </w:rPr>
                  <m:t>c</m:t>
                </m:r>
              </m:e>
              <m:sub>
                <m:r>
                  <m:rPr>
                    <m:nor/>
                  </m:rPr>
                  <w:rPr>
                    <w:rFonts w:ascii="Cambria Math" w:hAnsi="Cambria Math"/>
                  </w:rPr>
                  <m:t>fn</m:t>
                </m:r>
              </m:sub>
            </m:sSub>
          </m:e>
          <m:sub>
            <m:r>
              <w:rPr>
                <w:rFonts w:ascii="Cambria Math" w:hAnsi="Cambria Math"/>
              </w:rPr>
              <m:t>a</m:t>
            </m:r>
          </m:sub>
        </m:sSub>
      </m:oMath>
      <w:r>
        <w:t xml:space="preserve"> can be calculated</w:t>
      </w:r>
    </w:p>
    <w:p w14:paraId="46E1C4FB" w14:textId="77777777" w:rsidR="00D83CEF" w:rsidRDefault="00D83CEF" w:rsidP="00D83CEF">
      <w:pPr>
        <w:pStyle w:val="EQ"/>
      </w:pPr>
      <w:r>
        <w:rPr>
          <w:noProof w:val="0"/>
        </w:rPr>
        <w:tab/>
      </w:r>
      <m:oMath>
        <m:sSub>
          <m:sSubPr>
            <m:ctrlPr>
              <w:rPr>
                <w:rFonts w:ascii="Cambria Math" w:hAnsi="Cambria Math"/>
              </w:rPr>
            </m:ctrlPr>
          </m:sSubPr>
          <m:e>
            <m:sSub>
              <m:sSubPr>
                <m:ctrlPr>
                  <w:rPr>
                    <w:rFonts w:ascii="Cambria Math" w:hAnsi="Cambria Math"/>
                  </w:rPr>
                </m:ctrlPr>
              </m:sSubPr>
              <m:e>
                <m:r>
                  <m:rPr>
                    <m:nor/>
                  </m:rPr>
                  <w:rPr>
                    <w:rFonts w:ascii="Cambria Math" w:hAnsi="Cambria Math"/>
                  </w:rPr>
                  <m:t>c</m:t>
                </m:r>
              </m:e>
              <m:sub>
                <m:r>
                  <m:rPr>
                    <m:nor/>
                  </m:rPr>
                  <w:rPr>
                    <w:rFonts w:ascii="Cambria Math" w:hAnsi="Cambria Math"/>
                  </w:rPr>
                  <m:t>fn</m:t>
                </m:r>
              </m:sub>
            </m:sSub>
          </m:e>
          <m:sub>
            <m:r>
              <w:rPr>
                <w:rFonts w:ascii="Cambria Math" w:hAnsi="Cambria Math"/>
              </w:rPr>
              <m:t>a</m:t>
            </m:r>
          </m:sub>
        </m:sSub>
        <m:d>
          <m:dPr>
            <m:ctrlPr>
              <w:rPr>
                <w:rFonts w:ascii="Cambria Math" w:hAnsi="Cambria Math"/>
              </w:rPr>
            </m:ctrlPr>
          </m:dPr>
          <m:e>
            <m:sSub>
              <m:sSubPr>
                <m:ctrlPr>
                  <w:rPr>
                    <w:rFonts w:ascii="Cambria Math" w:hAnsi="Cambria Math"/>
                    <w:i/>
                  </w:rPr>
                </m:ctrlPr>
              </m:sSubPr>
              <m:e>
                <m:r>
                  <w:rPr>
                    <w:rFonts w:ascii="Cambria Math" w:hAnsi="Cambria Math"/>
                  </w:rPr>
                  <m:t>CL</m:t>
                </m:r>
              </m:e>
              <m:sub>
                <m:r>
                  <w:rPr>
                    <w:rFonts w:ascii="Cambria Math" w:hAnsi="Cambria Math"/>
                  </w:rPr>
                  <m:t>a</m:t>
                </m:r>
              </m:sub>
            </m:sSub>
          </m:e>
        </m:d>
        <m:r>
          <m:rPr>
            <m:sty m:val="p"/>
          </m:rP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f>
          <m:fPr>
            <m:ctrlPr>
              <w:rPr>
                <w:rFonts w:ascii="Cambria Math" w:hAnsi="Cambria Math"/>
                <w:i/>
              </w:rPr>
            </m:ctrlPr>
          </m:fPr>
          <m:num>
            <m:r>
              <w:rPr>
                <w:rFonts w:ascii="Cambria Math" w:hAnsi="Cambria Math"/>
              </w:rPr>
              <m:t>β</m:t>
            </m:r>
          </m:num>
          <m:den>
            <m:r>
              <w:rPr>
                <w:rFonts w:ascii="Cambria Math" w:hAnsi="Cambria Math"/>
              </w:rPr>
              <m:t>α</m:t>
            </m:r>
          </m:den>
        </m:f>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e>
        </m:d>
      </m:oMath>
      <w:r>
        <w:rPr>
          <w:noProof w:val="0"/>
        </w:rPr>
        <w:t>.</w:t>
      </w:r>
      <w:r w:rsidRPr="00445DD4">
        <w:tab/>
        <w:t>(</w:t>
      </w:r>
      <w:bookmarkStart w:id="398" w:name="EQ_cfn_adaptive"/>
      <w:r w:rsidRPr="00445DD4">
        <w:fldChar w:fldCharType="begin"/>
      </w:r>
      <w:r w:rsidRPr="00445DD4">
        <w:instrText xml:space="preserve"> SEQ Eq \* MERGEFORMAT </w:instrText>
      </w:r>
      <w:r w:rsidRPr="00445DD4">
        <w:fldChar w:fldCharType="separate"/>
      </w:r>
      <w:r>
        <w:t>67</w:t>
      </w:r>
      <w:r w:rsidRPr="00445DD4">
        <w:fldChar w:fldCharType="end"/>
      </w:r>
      <w:bookmarkEnd w:id="398"/>
      <w:r w:rsidRPr="00445DD4">
        <w:t>)</w:t>
      </w:r>
    </w:p>
    <w:p w14:paraId="5E4EBDAE" w14:textId="77777777" w:rsidR="00D83CEF" w:rsidRPr="003258A9" w:rsidRDefault="00D83CEF" w:rsidP="00D83CEF">
      <w:r>
        <w:t xml:space="preserve">Substituting </w:t>
      </w:r>
      <w:r w:rsidRPr="00C53B80">
        <w:t>equation </w:t>
      </w:r>
      <w:r w:rsidRPr="00445DD4">
        <w:fldChar w:fldCharType="begin"/>
      </w:r>
      <w:r w:rsidRPr="00C53B80">
        <w:instrText xml:space="preserve"> REF EQ_CL_Nu \h </w:instrText>
      </w:r>
      <w:r w:rsidRPr="00445DD4">
        <w:fldChar w:fldCharType="separate"/>
      </w:r>
      <w:r>
        <w:rPr>
          <w:noProof/>
        </w:rPr>
        <w:t>4</w:t>
      </w:r>
      <w:r w:rsidRPr="00445DD4">
        <w:fldChar w:fldCharType="end"/>
      </w:r>
      <w:r>
        <w:t xml:space="preserve">, </w:t>
      </w:r>
      <w:r w:rsidRPr="00C53B80">
        <w:t>equation </w:t>
      </w:r>
      <w:r>
        <w:fldChar w:fldCharType="begin"/>
      </w:r>
      <w:r w:rsidRPr="00C53B80">
        <w:instrText xml:space="preserve"> REF EQ_CBR_LIMERIC \h </w:instrText>
      </w:r>
      <w:r>
        <w:fldChar w:fldCharType="separate"/>
      </w:r>
      <w:r>
        <w:rPr>
          <w:noProof/>
        </w:rPr>
        <w:t>50</w:t>
      </w:r>
      <w:r>
        <w:fldChar w:fldCharType="end"/>
      </w:r>
      <w:r>
        <w:t>, equation </w:t>
      </w:r>
      <w:r>
        <w:fldChar w:fldCharType="begin"/>
      </w:r>
      <w:r>
        <w:instrText xml:space="preserve"> REF EQ_ffna \h </w:instrText>
      </w:r>
      <w:r>
        <w:fldChar w:fldCharType="separate"/>
      </w:r>
      <w:r>
        <w:rPr>
          <w:noProof/>
        </w:rPr>
        <w:t>65</w:t>
      </w:r>
      <w:r>
        <w:fldChar w:fldCharType="end"/>
      </w:r>
      <w:r>
        <w:t>, and equation </w:t>
      </w:r>
      <w:r>
        <w:fldChar w:fldCharType="begin"/>
      </w:r>
      <w:r>
        <w:instrText xml:space="preserve"> REF EQ_cfn_adaptive \h </w:instrText>
      </w:r>
      <w:r>
        <w:fldChar w:fldCharType="separate"/>
      </w:r>
      <w:r>
        <w:rPr>
          <w:noProof/>
        </w:rPr>
        <w:t>67</w:t>
      </w:r>
      <w:r>
        <w:fldChar w:fldCharType="end"/>
      </w:r>
      <w:r>
        <w:t xml:space="preserve"> in equation </w:t>
      </w:r>
      <w:r>
        <w:fldChar w:fldCharType="begin"/>
      </w:r>
      <w:r>
        <w:instrText xml:space="preserve"> REF EQ_stability_criteria \h </w:instrText>
      </w:r>
      <w:r>
        <w:fldChar w:fldCharType="separate"/>
      </w:r>
      <w:r>
        <w:rPr>
          <w:noProof/>
        </w:rPr>
        <w:t>22</w:t>
      </w:r>
      <w:r>
        <w:fldChar w:fldCharType="end"/>
      </w:r>
      <w:r>
        <w:t xml:space="preserve"> leads to equation </w:t>
      </w:r>
      <w:r>
        <w:fldChar w:fldCharType="begin"/>
      </w:r>
      <w:r>
        <w:instrText xml:space="preserve"> REF EQ_stability_adaptive1 \h </w:instrText>
      </w:r>
      <w:r>
        <w:fldChar w:fldCharType="separate"/>
      </w:r>
      <w:r>
        <w:rPr>
          <w:noProof/>
        </w:rPr>
        <w:t>68</w:t>
      </w:r>
      <w:r>
        <w:fldChar w:fldCharType="end"/>
      </w:r>
      <w:r>
        <w:t>.</w:t>
      </w:r>
    </w:p>
    <w:p w14:paraId="0DCF96A7" w14:textId="77777777" w:rsidR="00D83CEF" w:rsidRDefault="00D83CEF" w:rsidP="00D83CEF">
      <w:pPr>
        <w:pStyle w:val="EQ"/>
      </w:pPr>
      <w:r w:rsidRPr="00445DD4">
        <w:tab/>
      </w:r>
      <w:bookmarkStart w:id="399" w:name="_Hlk195192351"/>
      <m:oMath>
        <m:d>
          <m:dPr>
            <m:begChr m:val="|"/>
            <m:endChr m:val="|"/>
            <m:ctrlPr>
              <w:rPr>
                <w:rFonts w:ascii="Cambria Math" w:hAnsi="Cambria Math"/>
                <w:i/>
              </w:rPr>
            </m:ctrlPr>
          </m:dPr>
          <m:e>
            <m:r>
              <w:rPr>
                <w:rFonts w:ascii="Cambria Math" w:hAnsi="Cambria Math"/>
              </w:rPr>
              <m:t>α×1×</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m:t>
                </m:r>
                <m:f>
                  <m:fPr>
                    <m:ctrlPr>
                      <w:rPr>
                        <w:rFonts w:ascii="Cambria Math" w:hAnsi="Cambria Math"/>
                        <w:i/>
                      </w:rPr>
                    </m:ctrlPr>
                  </m:fPr>
                  <m:num>
                    <m:r>
                      <w:rPr>
                        <w:rFonts w:ascii="Cambria Math" w:hAnsi="Cambria Math"/>
                      </w:rPr>
                      <m:t>β</m:t>
                    </m:r>
                  </m:num>
                  <m:den>
                    <m:r>
                      <w:rPr>
                        <w:rFonts w:ascii="Cambria Math" w:hAnsi="Cambria Math"/>
                      </w:rPr>
                      <m:t>α</m:t>
                    </m:r>
                  </m:den>
                </m:f>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r>
                      <w:rPr>
                        <w:rFonts w:ascii="Cambria Math" w:hAnsi="Cambria Math"/>
                      </w:rPr>
                      <m:t>N×u</m:t>
                    </m:r>
                    <m:d>
                      <m:dPr>
                        <m:ctrlPr>
                          <w:rPr>
                            <w:rFonts w:ascii="Cambria Math" w:hAnsi="Cambria Math"/>
                            <w:i/>
                          </w:rPr>
                        </m:ctrlPr>
                      </m:dPr>
                      <m:e>
                        <m:r>
                          <w:rPr>
                            <w:rFonts w:ascii="Cambria Math" w:hAnsi="Cambria Math"/>
                          </w:rPr>
                          <m:t>t</m:t>
                        </m:r>
                      </m:e>
                    </m:d>
                  </m:e>
                </m:d>
                <m:r>
                  <w:rPr>
                    <w:rFonts w:ascii="Cambria Math" w:hAnsi="Cambria Math"/>
                  </w:rPr>
                  <m:t>-u</m:t>
                </m:r>
                <m:d>
                  <m:dPr>
                    <m:ctrlPr>
                      <w:rPr>
                        <w:rFonts w:ascii="Cambria Math" w:hAnsi="Cambria Math"/>
                        <w:i/>
                      </w:rPr>
                    </m:ctrlPr>
                  </m:dPr>
                  <m:e>
                    <m:r>
                      <w:rPr>
                        <w:rFonts w:ascii="Cambria Math" w:hAnsi="Cambria Math"/>
                      </w:rPr>
                      <m:t>t</m:t>
                    </m:r>
                  </m:e>
                </m:d>
              </m:e>
            </m:d>
          </m:e>
        </m:d>
        <m:r>
          <w:rPr>
            <w:rFonts w:ascii="Cambria Math" w:hAnsi="Cambria Math"/>
          </w:rPr>
          <m:t>&lt;2×</m:t>
        </m:r>
        <m:d>
          <m:dPr>
            <m:begChr m:val="|"/>
            <m:endChr m:val="|"/>
            <m:ctrlPr>
              <w:rPr>
                <w:rFonts w:ascii="Cambria Math" w:hAnsi="Cambria Math"/>
                <w:i/>
                <w:noProof w:val="0"/>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sSub>
                  <m:sSubPr>
                    <m:ctrlPr>
                      <w:rPr>
                        <w:rFonts w:ascii="Cambria Math" w:hAnsi="Cambria Math"/>
                        <w:i/>
                      </w:rPr>
                    </m:ctrlPr>
                  </m:sSubPr>
                  <m:e>
                    <m:r>
                      <w:rPr>
                        <w:rFonts w:ascii="Cambria Math" w:hAnsi="Cambria Math"/>
                      </w:rPr>
                      <m:t>CBR</m:t>
                    </m:r>
                  </m:e>
                  <m:sub>
                    <m:r>
                      <w:rPr>
                        <w:rFonts w:ascii="Cambria Math" w:hAnsi="Cambria Math"/>
                      </w:rPr>
                      <m:t>target</m:t>
                    </m:r>
                  </m:sub>
                </m:sSub>
              </m:num>
              <m:den>
                <m:r>
                  <w:rPr>
                    <w:rFonts w:ascii="Cambria Math" w:hAnsi="Cambria Math"/>
                  </w:rPr>
                  <m:t>α+β×N×</m:t>
                </m:r>
                <m:sSub>
                  <m:sSubPr>
                    <m:ctrlPr>
                      <w:rPr>
                        <w:rFonts w:ascii="Cambria Math" w:hAnsi="Cambria Math"/>
                        <w:i/>
                      </w:rPr>
                    </m:ctrlPr>
                  </m:sSubPr>
                  <m:e>
                    <m:r>
                      <w:rPr>
                        <w:rFonts w:ascii="Cambria Math" w:hAnsi="Cambria Math"/>
                      </w:rPr>
                      <m:t>T</m:t>
                    </m:r>
                  </m:e>
                  <m:sub>
                    <m:r>
                      <w:rPr>
                        <w:rFonts w:ascii="Cambria Math" w:hAnsi="Cambria Math"/>
                      </w:rPr>
                      <m:t>on</m:t>
                    </m:r>
                  </m:sub>
                </m:sSub>
              </m:den>
            </m:f>
            <m:r>
              <w:rPr>
                <w:rFonts w:ascii="Cambria Math" w:hAnsi="Cambria Math"/>
              </w:rPr>
              <m:t>-u</m:t>
            </m:r>
            <m:d>
              <m:dPr>
                <m:ctrlPr>
                  <w:rPr>
                    <w:rFonts w:ascii="Cambria Math" w:hAnsi="Cambria Math"/>
                    <w:i/>
                    <w:noProof w:val="0"/>
                  </w:rPr>
                </m:ctrlPr>
              </m:dPr>
              <m:e>
                <m:r>
                  <w:rPr>
                    <w:rFonts w:ascii="Cambria Math" w:hAnsi="Cambria Math"/>
                  </w:rPr>
                  <m:t>t</m:t>
                </m:r>
              </m:e>
            </m:d>
          </m:e>
        </m:d>
      </m:oMath>
      <w:r w:rsidRPr="00445DD4">
        <w:tab/>
        <w:t>(</w:t>
      </w:r>
      <w:bookmarkStart w:id="400" w:name="EQ_stability_adaptive1"/>
      <w:r w:rsidRPr="00445DD4">
        <w:fldChar w:fldCharType="begin"/>
      </w:r>
      <w:r w:rsidRPr="00445DD4">
        <w:instrText xml:space="preserve"> SEQ Eq \* MERGEFORMAT </w:instrText>
      </w:r>
      <w:r w:rsidRPr="00445DD4">
        <w:fldChar w:fldCharType="separate"/>
      </w:r>
      <w:r>
        <w:t>68</w:t>
      </w:r>
      <w:r w:rsidRPr="00445DD4">
        <w:fldChar w:fldCharType="end"/>
      </w:r>
      <w:bookmarkEnd w:id="400"/>
      <w:r w:rsidRPr="00445DD4">
        <w:t>)</w:t>
      </w:r>
    </w:p>
    <w:p w14:paraId="6FD3415B" w14:textId="77777777" w:rsidR="00D83CEF" w:rsidRPr="00341019" w:rsidRDefault="00D83CEF" w:rsidP="00D83CEF">
      <w:r>
        <w:t>When factorising equation </w:t>
      </w:r>
      <w:r>
        <w:fldChar w:fldCharType="begin"/>
      </w:r>
      <w:r>
        <w:instrText xml:space="preserve"> REF EQ_stability_adaptive1 \h </w:instrText>
      </w:r>
      <w:r>
        <w:fldChar w:fldCharType="separate"/>
      </w:r>
      <w:r>
        <w:rPr>
          <w:noProof/>
        </w:rPr>
        <w:t>68</w:t>
      </w:r>
      <w:r>
        <w:fldChar w:fldCharType="end"/>
      </w:r>
      <w:r>
        <w:t xml:space="preserve"> to equation </w:t>
      </w:r>
      <w:r>
        <w:fldChar w:fldCharType="begin"/>
      </w:r>
      <w:r>
        <w:instrText xml:space="preserve"> REF EQ_stability_adaptive2 \h </w:instrText>
      </w:r>
      <w:r>
        <w:fldChar w:fldCharType="separate"/>
      </w:r>
      <w:r>
        <w:rPr>
          <w:noProof/>
        </w:rPr>
        <w:t>69</w:t>
      </w:r>
      <w:r>
        <w:fldChar w:fldCharType="end"/>
      </w:r>
      <w:r>
        <w:t xml:space="preserve"> it can be simplified to equation </w:t>
      </w:r>
      <w:r>
        <w:fldChar w:fldCharType="begin"/>
      </w:r>
      <w:r w:rsidRPr="00C53B80">
        <w:instrText xml:space="preserve"> REF EQ_stability_LIMERIC \h </w:instrText>
      </w:r>
      <w:r>
        <w:fldChar w:fldCharType="separate"/>
      </w:r>
      <w:r>
        <w:rPr>
          <w:noProof/>
        </w:rPr>
        <w:t>70</w:t>
      </w:r>
      <w:r>
        <w:fldChar w:fldCharType="end"/>
      </w:r>
      <w:r>
        <w:t xml:space="preserve"> which is in line with the result given in </w:t>
      </w:r>
      <w:r>
        <w:fldChar w:fldCharType="begin"/>
      </w:r>
      <w:r w:rsidRPr="00C53B80">
        <w:instrText xml:space="preserve"> REF REF_CLAUDIACAMPOLO \h </w:instrText>
      </w:r>
      <w:r>
        <w:fldChar w:fldCharType="separate"/>
      </w:r>
      <w:r>
        <w:t>[i.10]</w:t>
      </w:r>
      <w:r>
        <w:fldChar w:fldCharType="end"/>
      </w:r>
      <w:r>
        <w:t xml:space="preserve"> that was found via a series expansion approach.</w:t>
      </w:r>
    </w:p>
    <w:p w14:paraId="167F4536" w14:textId="77777777" w:rsidR="00D83CEF" w:rsidRPr="00341019" w:rsidRDefault="00D83CEF" w:rsidP="00D83CEF">
      <w:pPr>
        <w:pStyle w:val="EQ"/>
        <w:rPr>
          <w:rFonts w:ascii="Cambria Math" w:hAnsi="Cambria Math"/>
          <w:iCs/>
        </w:rPr>
      </w:pPr>
      <w:r>
        <w:tab/>
      </w:r>
      <m:oMath>
        <m:d>
          <m:dPr>
            <m:ctrlPr>
              <w:rPr>
                <w:rFonts w:ascii="Cambria Math" w:hAnsi="Cambria Math"/>
                <w:i/>
              </w:rPr>
            </m:ctrlPr>
          </m:dPr>
          <m:e>
            <m:r>
              <w:rPr>
                <w:rFonts w:ascii="Cambria Math" w:hAnsi="Cambria Math"/>
              </w:rPr>
              <m:t>α+β×N×</m:t>
            </m:r>
            <m:sSub>
              <m:sSubPr>
                <m:ctrlPr>
                  <w:rPr>
                    <w:rFonts w:ascii="Cambria Math" w:hAnsi="Cambria Math"/>
                    <w:i/>
                  </w:rPr>
                </m:ctrlPr>
              </m:sSubPr>
              <m:e>
                <m:r>
                  <w:rPr>
                    <w:rFonts w:ascii="Cambria Math" w:hAnsi="Cambria Math"/>
                  </w:rPr>
                  <m:t>T</m:t>
                </m:r>
              </m:e>
              <m:sub>
                <m:r>
                  <w:rPr>
                    <w:rFonts w:ascii="Cambria Math" w:hAnsi="Cambria Math"/>
                  </w:rPr>
                  <m:t>on</m:t>
                </m:r>
              </m:sub>
            </m:sSub>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r>
                  <w:rPr>
                    <w:rFonts w:ascii="Cambria Math" w:hAnsi="Cambria Math"/>
                  </w:rPr>
                  <m:t>N×u</m:t>
                </m:r>
                <m:d>
                  <m:dPr>
                    <m:ctrlPr>
                      <w:rPr>
                        <w:rFonts w:ascii="Cambria Math" w:hAnsi="Cambria Math"/>
                        <w:i/>
                      </w:rPr>
                    </m:ctrlPr>
                  </m:dPr>
                  <m:e>
                    <m:r>
                      <w:rPr>
                        <w:rFonts w:ascii="Cambria Math" w:hAnsi="Cambria Math"/>
                      </w:rPr>
                      <m:t>t</m:t>
                    </m:r>
                  </m:e>
                </m:d>
                <m:r>
                  <w:rPr>
                    <w:rFonts w:ascii="Cambria Math" w:hAnsi="Cambria Math"/>
                  </w:rPr>
                  <m:t>-α×u</m:t>
                </m:r>
                <m:d>
                  <m:dPr>
                    <m:ctrlPr>
                      <w:rPr>
                        <w:rFonts w:ascii="Cambria Math" w:hAnsi="Cambria Math"/>
                        <w:i/>
                      </w:rPr>
                    </m:ctrlPr>
                  </m:dPr>
                  <m:e>
                    <m:r>
                      <w:rPr>
                        <w:rFonts w:ascii="Cambria Math" w:hAnsi="Cambria Math"/>
                      </w:rPr>
                      <m:t>t</m:t>
                    </m:r>
                  </m:e>
                </m:d>
              </m:e>
            </m:d>
          </m:e>
        </m:d>
        <m:r>
          <w:rPr>
            <w:rFonts w:ascii="Cambria Math" w:hAnsi="Cambria Math"/>
          </w:rPr>
          <m:t>&lt;</m:t>
        </m:r>
      </m:oMath>
    </w:p>
    <w:p w14:paraId="2B8ED38D" w14:textId="77777777" w:rsidR="00D83CEF" w:rsidRDefault="00D83CEF" w:rsidP="00D83CEF">
      <w:pPr>
        <w:pStyle w:val="EQ"/>
      </w:pPr>
      <w:r>
        <w:rPr>
          <w:rFonts w:ascii="Cambria Math" w:hAnsi="Cambria Math"/>
        </w:rPr>
        <w:tab/>
      </w:r>
      <m:oMath>
        <m:r>
          <w:rPr>
            <w:rFonts w:ascii="Cambria Math" w:hAnsi="Cambria Math"/>
          </w:rPr>
          <m:t>&lt;2×</m:t>
        </m:r>
        <m:d>
          <m:dPr>
            <m:begChr m:val="|"/>
            <m:endChr m:val="|"/>
            <m:ctrlPr>
              <w:rPr>
                <w:rFonts w:ascii="Cambria Math" w:hAnsi="Cambria Math"/>
                <w:i/>
                <w:noProof w:val="0"/>
              </w:rPr>
            </m:ctrlPr>
          </m:dPr>
          <m:e>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sSub>
              <m:sSubPr>
                <m:ctrlPr>
                  <w:rPr>
                    <w:rFonts w:ascii="Cambria Math" w:hAnsi="Cambria Math"/>
                    <w:i/>
                  </w:rPr>
                </m:ctrlPr>
              </m:sSubPr>
              <m:e>
                <m:r>
                  <w:rPr>
                    <w:rFonts w:ascii="Cambria Math" w:hAnsi="Cambria Math"/>
                  </w:rPr>
                  <m:t>CBR</m:t>
                </m:r>
              </m:e>
              <m:sub>
                <m:r>
                  <w:rPr>
                    <w:rFonts w:ascii="Cambria Math" w:hAnsi="Cambria Math"/>
                  </w:rPr>
                  <m:t>target</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r>
              <w:rPr>
                <w:rFonts w:ascii="Cambria Math" w:hAnsi="Cambria Math"/>
              </w:rPr>
              <m:t>N×u</m:t>
            </m:r>
            <m:d>
              <m:dPr>
                <m:ctrlPr>
                  <w:rPr>
                    <w:rFonts w:ascii="Cambria Math" w:hAnsi="Cambria Math"/>
                    <w:i/>
                  </w:rPr>
                </m:ctrlPr>
              </m:dPr>
              <m:e>
                <m:r>
                  <w:rPr>
                    <w:rFonts w:ascii="Cambria Math" w:hAnsi="Cambria Math"/>
                  </w:rPr>
                  <m:t>t</m:t>
                </m:r>
              </m:e>
            </m:d>
            <m:r>
              <w:rPr>
                <w:rFonts w:ascii="Cambria Math" w:hAnsi="Cambria Math"/>
              </w:rPr>
              <m:t>-α×u</m:t>
            </m:r>
            <m:d>
              <m:dPr>
                <m:ctrlPr>
                  <w:rPr>
                    <w:rFonts w:ascii="Cambria Math" w:hAnsi="Cambria Math"/>
                    <w:i/>
                  </w:rPr>
                </m:ctrlPr>
              </m:dPr>
              <m:e>
                <m:r>
                  <w:rPr>
                    <w:rFonts w:ascii="Cambria Math" w:hAnsi="Cambria Math"/>
                  </w:rPr>
                  <m:t>t</m:t>
                </m:r>
              </m:e>
            </m:d>
          </m:e>
        </m:d>
      </m:oMath>
      <w:r>
        <w:rPr>
          <w:rFonts w:ascii="Cambria Math" w:hAnsi="Cambria Math"/>
        </w:rPr>
        <w:tab/>
      </w:r>
      <w:r w:rsidRPr="00445DD4">
        <w:t>(</w:t>
      </w:r>
      <w:bookmarkStart w:id="401" w:name="EQ_stability_adaptive2"/>
      <w:r w:rsidRPr="00445DD4">
        <w:fldChar w:fldCharType="begin"/>
      </w:r>
      <w:r w:rsidRPr="00445DD4">
        <w:instrText xml:space="preserve"> SEQ Eq \* MERGEFORMAT </w:instrText>
      </w:r>
      <w:r w:rsidRPr="00445DD4">
        <w:fldChar w:fldCharType="separate"/>
      </w:r>
      <w:r>
        <w:t>69</w:t>
      </w:r>
      <w:r w:rsidRPr="00445DD4">
        <w:fldChar w:fldCharType="end"/>
      </w:r>
      <w:bookmarkEnd w:id="401"/>
      <w:r w:rsidRPr="00445DD4">
        <w:t>)</w:t>
      </w:r>
    </w:p>
    <w:bookmarkEnd w:id="399"/>
    <w:p w14:paraId="2156A523" w14:textId="77777777" w:rsidR="00D83CEF" w:rsidRPr="00445DD4" w:rsidRDefault="00D83CEF" w:rsidP="00D83CEF">
      <w:pPr>
        <w:pStyle w:val="MTDisplayEquation"/>
        <w:rPr>
          <w:lang w:val="en-GB"/>
        </w:rPr>
      </w:pPr>
      <w:r>
        <w:rPr>
          <w:lang w:val="en-GB"/>
        </w:rPr>
        <w:tab/>
      </w:r>
      <m:oMath>
        <m:r>
          <w:rPr>
            <w:rFonts w:ascii="Cambria Math" w:hAnsi="Cambria Math"/>
            <w:sz w:val="20"/>
            <w:szCs w:val="20"/>
            <w:lang w:val="en-GB"/>
          </w:rPr>
          <m:t>∝+</m:t>
        </m:r>
        <m:sSub>
          <m:sSubPr>
            <m:ctrlPr>
              <w:rPr>
                <w:rFonts w:ascii="Cambria Math" w:hAnsi="Cambria Math"/>
                <w:i/>
                <w:sz w:val="20"/>
                <w:szCs w:val="20"/>
                <w:lang w:val="en-GB"/>
              </w:rPr>
            </m:ctrlPr>
          </m:sSubPr>
          <m:e>
            <m:r>
              <w:rPr>
                <w:rFonts w:ascii="Cambria Math" w:hAnsi="Cambria Math"/>
                <w:sz w:val="20"/>
                <w:szCs w:val="20"/>
                <w:lang w:val="en-GB"/>
              </w:rPr>
              <m:t>T</m:t>
            </m:r>
          </m:e>
          <m:sub>
            <m:r>
              <w:rPr>
                <w:rFonts w:ascii="Cambria Math" w:hAnsi="Cambria Math"/>
                <w:sz w:val="20"/>
                <w:szCs w:val="20"/>
                <w:lang w:val="en-GB"/>
              </w:rPr>
              <m:t>on</m:t>
            </m:r>
          </m:sub>
        </m:sSub>
        <m:r>
          <w:rPr>
            <w:rFonts w:ascii="Cambria Math" w:hAnsi="Cambria Math"/>
            <w:sz w:val="20"/>
            <w:szCs w:val="20"/>
            <w:lang w:val="en-GB"/>
          </w:rPr>
          <m:t>×N×β&lt;2</m:t>
        </m:r>
      </m:oMath>
      <w:r>
        <w:rPr>
          <w:lang w:val="en-GB"/>
        </w:rPr>
        <w:tab/>
      </w:r>
      <w:r w:rsidRPr="00445DD4">
        <w:rPr>
          <w:lang w:val="en-GB"/>
        </w:rPr>
        <w:t>(</w:t>
      </w:r>
      <w:bookmarkStart w:id="402" w:name="EQ_stability_LIMERIC"/>
      <w:r w:rsidRPr="00341019">
        <w:rPr>
          <w:rFonts w:ascii="Times New Roman" w:eastAsia="Times New Roman" w:hAnsi="Times New Roman" w:cs="Times New Roman"/>
          <w:noProof/>
          <w:sz w:val="20"/>
          <w:szCs w:val="20"/>
          <w:lang w:val="en-GB"/>
        </w:rPr>
        <w:fldChar w:fldCharType="begin"/>
      </w:r>
      <w:r w:rsidRPr="00341019">
        <w:rPr>
          <w:rFonts w:ascii="Times New Roman" w:eastAsia="Times New Roman" w:hAnsi="Times New Roman" w:cs="Times New Roman"/>
          <w:noProof/>
          <w:sz w:val="20"/>
          <w:szCs w:val="20"/>
          <w:lang w:val="en-GB"/>
        </w:rPr>
        <w:instrText xml:space="preserve"> SEQ Eq \* MERGEFORMAT </w:instrText>
      </w:r>
      <w:r w:rsidRPr="00341019">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70</w:t>
      </w:r>
      <w:r w:rsidRPr="00341019">
        <w:rPr>
          <w:rFonts w:ascii="Times New Roman" w:eastAsia="Times New Roman" w:hAnsi="Times New Roman" w:cs="Times New Roman"/>
          <w:noProof/>
          <w:sz w:val="20"/>
          <w:szCs w:val="20"/>
          <w:lang w:val="en-GB"/>
        </w:rPr>
        <w:fldChar w:fldCharType="end"/>
      </w:r>
      <w:bookmarkEnd w:id="402"/>
      <w:r w:rsidRPr="00445DD4">
        <w:rPr>
          <w:lang w:val="en-GB"/>
        </w:rPr>
        <w:t>)</w:t>
      </w:r>
    </w:p>
    <w:p w14:paraId="1409EC2F" w14:textId="77777777" w:rsidR="00D83CEF" w:rsidRDefault="00D83CEF" w:rsidP="00D83CEF">
      <w:r>
        <w:t>This result means that t</w:t>
      </w:r>
      <w:r w:rsidRPr="00C53B80">
        <w:t xml:space="preserve">he </w:t>
      </w:r>
      <w:r>
        <w:t>discrete time adaptive</w:t>
      </w:r>
      <w:r w:rsidRPr="00C53B80">
        <w:t xml:space="preserve"> algorithm converges to the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m:t>
                </m:r>
              </m:sub>
            </m:sSub>
          </m:e>
        </m:acc>
      </m:oMath>
      <w:r>
        <w:t xml:space="preserve"> </w:t>
      </w:r>
      <w:r w:rsidRPr="00C53B80">
        <w:t>value from equation </w:t>
      </w:r>
      <w:r>
        <w:fldChar w:fldCharType="begin"/>
      </w:r>
      <w:r w:rsidRPr="00C53B80">
        <w:instrText xml:space="preserve"> REF EQ_CBR_LIMERIC \h </w:instrText>
      </w:r>
      <w:r>
        <w:fldChar w:fldCharType="separate"/>
      </w:r>
      <w:r>
        <w:rPr>
          <w:noProof/>
        </w:rPr>
        <w:t>50</w:t>
      </w:r>
      <w:r>
        <w:fldChar w:fldCharType="end"/>
      </w:r>
      <w:r w:rsidRPr="00C53B80">
        <w:t xml:space="preserve"> when the stability criterion of equation </w:t>
      </w:r>
      <w:r>
        <w:fldChar w:fldCharType="begin"/>
      </w:r>
      <w:r w:rsidRPr="00C53B80">
        <w:instrText xml:space="preserve"> REF EQ_stability_LIMERIC \h </w:instrText>
      </w:r>
      <w:r>
        <w:fldChar w:fldCharType="separate"/>
      </w:r>
      <w:r>
        <w:rPr>
          <w:noProof/>
        </w:rPr>
        <w:t>70</w:t>
      </w:r>
      <w:r>
        <w:fldChar w:fldCharType="end"/>
      </w:r>
      <w:r w:rsidRPr="00C53B80">
        <w:t xml:space="preserve"> is fulfilled.</w:t>
      </w:r>
    </w:p>
    <w:p w14:paraId="5BB690F4" w14:textId="7AE4810A" w:rsidR="00D83CEF" w:rsidRDefault="00D83CEF" w:rsidP="00D83CEF">
      <w:r>
        <w:t xml:space="preserve">The fastest convergence </w:t>
      </w:r>
      <w:r w:rsidR="00183025">
        <w:t>of</w:t>
      </w:r>
      <w:r>
        <w:t xml:space="preserve"> the discrete time control is reached for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×N×β=1</m:t>
        </m:r>
      </m:oMath>
      <w:r>
        <w:t xml:space="preserve"> where the equilibrium is reached within one time step. For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×N×β&gt;1</m:t>
        </m:r>
      </m:oMath>
      <w:r>
        <w:t xml:space="preserve"> the channel load overshoots the equilibrium and converges with an exponentially decaying oscillation. When </w:t>
      </w:r>
      <m:oMath>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×N×β≪1</m:t>
        </m:r>
      </m:oMath>
      <w:r>
        <w:t xml:space="preserve"> the discrete time control converges approximately like the analytic continuous time solution given by equation </w:t>
      </w:r>
      <w:r>
        <w:fldChar w:fldCharType="begin"/>
      </w:r>
      <w:r>
        <w:instrText xml:space="preserve"> REF EQ_adaptive_solution_in_t \h </w:instrText>
      </w:r>
      <w:r>
        <w:fldChar w:fldCharType="separate"/>
      </w:r>
      <w:r>
        <w:rPr>
          <w:noProof/>
        </w:rPr>
        <w:t>57</w:t>
      </w:r>
      <w:r>
        <w:fldChar w:fldCharType="end"/>
      </w:r>
      <w:r>
        <w:t>.</w:t>
      </w:r>
    </w:p>
    <w:p w14:paraId="05E3BE3B" w14:textId="77777777" w:rsidR="00D83CEF" w:rsidRPr="00C53B80" w:rsidRDefault="00D83CEF" w:rsidP="00D83CEF">
      <w:r>
        <w:t>For the parameter values given in Table 3 of [</w:t>
      </w:r>
      <w:r w:rsidRPr="00436A20">
        <w:t>ETSI</w:t>
      </w:r>
      <w:r>
        <w:t> </w:t>
      </w:r>
      <w:r w:rsidRPr="00436A20">
        <w:t>TS</w:t>
      </w:r>
      <w:r>
        <w:t> </w:t>
      </w:r>
      <w:r w:rsidRPr="00436A20">
        <w:t>102</w:t>
      </w:r>
      <w:r>
        <w:t> </w:t>
      </w:r>
      <w:r w:rsidRPr="00436A20">
        <w:t>687</w:t>
      </w:r>
      <w:r>
        <w:t> </w:t>
      </w:r>
      <w:r w:rsidRPr="00436A20">
        <w:t>V1.2.1</w:t>
      </w:r>
      <w:r>
        <w:t xml:space="preserve">] the stability criterion is given by </w:t>
      </w:r>
      <w:r>
        <w:br/>
      </w:r>
      <m:oMathPara>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×N&lt;1653,3 ms</m:t>
          </m:r>
        </m:oMath>
      </m:oMathPara>
    </w:p>
    <w:p w14:paraId="0D058BE4" w14:textId="77777777" w:rsidR="00D83CEF" w:rsidRDefault="00D83CEF" w:rsidP="00D83CEF">
      <w:r w:rsidRPr="00C53B80">
        <w:t>Since this criterion cannot be guaranteed for large node numbers</w:t>
      </w:r>
      <w:r>
        <w:t xml:space="preserve"> and long packet durations</w:t>
      </w:r>
      <w:r w:rsidRPr="00C53B80">
        <w:t xml:space="preserve">, the algorithm was enhanced in </w:t>
      </w:r>
      <w:r>
        <w:t>[</w:t>
      </w:r>
      <w:r w:rsidRPr="00436A20">
        <w:t>ETSI</w:t>
      </w:r>
      <w:r>
        <w:t> </w:t>
      </w:r>
      <w:r w:rsidRPr="00436A20">
        <w:t>TS</w:t>
      </w:r>
      <w:r>
        <w:t> </w:t>
      </w:r>
      <w:r w:rsidRPr="00436A20">
        <w:t>102</w:t>
      </w:r>
      <w:r>
        <w:t> </w:t>
      </w:r>
      <w:r w:rsidRPr="00436A20">
        <w:t>687</w:t>
      </w:r>
      <w:r>
        <w:t> </w:t>
      </w:r>
      <w:r w:rsidRPr="00436A20">
        <w:t>V1.2.1</w:t>
      </w:r>
      <w:r>
        <w:t xml:space="preserve">] </w:t>
      </w:r>
      <w:r w:rsidRPr="00C53B80">
        <w:t xml:space="preserve">by a control loop gain saturation that limits the term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t xml:space="preserve"> to a constant value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sSubSup>
      </m:oMath>
      <w:r>
        <w:t xml:space="preserve"> and by an input filtering function</w:t>
      </w:r>
      <w:r w:rsidRPr="00C53B80">
        <w:t>.</w:t>
      </w:r>
      <w:r>
        <w:t xml:space="preserve"> While the filtering function has no influence on the control equilibrium function a saturation of the </w:t>
      </w:r>
      <w:r w:rsidRPr="00C53B80">
        <w:t xml:space="preserve">control loop gain </w:t>
      </w:r>
      <w:r>
        <w:t xml:space="preserve">by setting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t xml:space="preserve"> to a constant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sSubSup>
      </m:oMath>
      <w:r>
        <w:t xml:space="preserve"> slightly reduces the channel utilization and has an influence on the convergence speed (see clause </w:t>
      </w:r>
      <w:r>
        <w:fldChar w:fldCharType="begin"/>
      </w:r>
      <w:r>
        <w:instrText xml:space="preserve"> REF CLS_convergence_speed \h </w:instrText>
      </w:r>
      <w:r>
        <w:fldChar w:fldCharType="separate"/>
      </w:r>
      <w:r>
        <w:t>C.2.2.2</w:t>
      </w:r>
      <w:r>
        <w:fldChar w:fldCharType="end"/>
      </w:r>
      <w:r>
        <w:t>). I</w:t>
      </w:r>
      <w:r w:rsidRPr="00C53B80">
        <w:t xml:space="preserve">n </w:t>
      </w:r>
      <w:r>
        <w:t>[</w:t>
      </w:r>
      <w:r w:rsidRPr="00436A20">
        <w:t>ETSI</w:t>
      </w:r>
      <w:r>
        <w:t> </w:t>
      </w:r>
      <w:r w:rsidRPr="00436A20">
        <w:t>TS</w:t>
      </w:r>
      <w:r>
        <w:t> </w:t>
      </w:r>
      <w:r w:rsidRPr="00436A20">
        <w:t>102</w:t>
      </w:r>
      <w:r>
        <w:t> </w:t>
      </w:r>
      <w:r w:rsidRPr="00436A20">
        <w:t>687</w:t>
      </w:r>
      <w:r>
        <w:t> </w:t>
      </w:r>
      <w:r w:rsidRPr="00436A20">
        <w:t>V1.2.1</w:t>
      </w:r>
      <w:r>
        <w:t xml:space="preserve">] different values for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sSubSup>
      </m:oMath>
      <w:r>
        <w:t xml:space="preserve"> are defined when </w:t>
      </w:r>
      <m:oMath>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oMath>
      <w:r>
        <w:t xml:space="preserve"> is positive or negative. For the control equilibrium only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t xml:space="preserve"> is relevant since the resulting new channel load equilibrium is below </w:t>
      </w:r>
      <m:oMath>
        <m:sSub>
          <m:sSubPr>
            <m:ctrlPr>
              <w:rPr>
                <w:rFonts w:ascii="Cambria Math" w:hAnsi="Cambria Math"/>
              </w:rPr>
            </m:ctrlPr>
          </m:sSubPr>
          <m:e>
            <m:r>
              <w:rPr>
                <w:rFonts w:ascii="Cambria Math" w:hAnsi="Cambria Math"/>
              </w:rPr>
              <m:t>CBR</m:t>
            </m:r>
          </m:e>
          <m:sub>
            <m:r>
              <w:rPr>
                <w:rFonts w:ascii="Cambria Math" w:hAnsi="Cambria Math"/>
              </w:rPr>
              <m:t>target</m:t>
            </m:r>
          </m:sub>
        </m:sSub>
      </m:oMath>
      <w:r>
        <w:t xml:space="preserve"> and the gain saturation is realised by replacing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t xml:space="preserve"> by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t xml:space="preserve"> in the control equation </w:t>
      </w:r>
      <w:r>
        <w:fldChar w:fldCharType="begin"/>
      </w:r>
      <w:r>
        <w:instrText xml:space="preserve"> REF EQ_r_equilibrium \h </w:instrText>
      </w:r>
      <w:r>
        <w:fldChar w:fldCharType="separate"/>
      </w:r>
      <w:r>
        <w:rPr>
          <w:noProof/>
        </w:rPr>
        <w:t>48</w:t>
      </w:r>
      <w:r>
        <w:fldChar w:fldCharType="end"/>
      </w:r>
      <w:r>
        <w:t xml:space="preserve">. From this follows the control equilibrium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sj</m:t>
                </m:r>
              </m:sub>
            </m:sSub>
          </m:e>
        </m:acc>
      </m:oMath>
      <w:r>
        <w:t xml:space="preserve"> in equation </w:t>
      </w:r>
      <w:r>
        <w:fldChar w:fldCharType="begin"/>
      </w:r>
      <w:r>
        <w:instrText xml:space="preserve"> REF EQ_rs_equilibrium_ansatz \h </w:instrText>
      </w:r>
      <w:r>
        <w:fldChar w:fldCharType="separate"/>
      </w:r>
      <w:r>
        <w:rPr>
          <w:noProof/>
        </w:rPr>
        <w:t>71</w:t>
      </w:r>
      <w:r>
        <w:fldChar w:fldCharType="end"/>
      </w:r>
      <w:r>
        <w:t xml:space="preserve"> for the gain saturated case.</w:t>
      </w:r>
    </w:p>
    <w:p w14:paraId="28D474FC" w14:textId="77777777" w:rsidR="00D83CEF" w:rsidRDefault="00D83CEF" w:rsidP="00D83CEF">
      <w:pPr>
        <w:pStyle w:val="MTDisplayEquation"/>
        <w:rPr>
          <w:lang w:val="en-GB"/>
        </w:rPr>
      </w:pPr>
      <w:r>
        <w:rPr>
          <w:lang w:val="en-GB"/>
        </w:rPr>
        <w:tab/>
      </w:r>
      <m:oMath>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sj</m:t>
                </m:r>
              </m:sub>
            </m:sSub>
          </m:e>
        </m:acc>
        <m:r>
          <w:rPr>
            <w:rFonts w:ascii="Cambria Math" w:hAnsi="Cambria Math"/>
            <w:lang w:val="en-GB"/>
          </w:rPr>
          <m:t>=</m:t>
        </m:r>
        <m:d>
          <m:dPr>
            <m:ctrlPr>
              <w:rPr>
                <w:rFonts w:ascii="Cambria Math" w:hAnsi="Cambria Math"/>
                <w:i/>
                <w:lang w:val="en-GB"/>
              </w:rPr>
            </m:ctrlPr>
          </m:dPr>
          <m:e>
            <m:r>
              <w:rPr>
                <w:rFonts w:ascii="Cambria Math" w:hAnsi="Cambria Math"/>
                <w:lang w:val="en-GB"/>
              </w:rPr>
              <m:t>1-∝</m:t>
            </m:r>
          </m:e>
        </m:d>
        <m:r>
          <w:rPr>
            <w:rFonts w:ascii="Cambria Math" w:hAnsi="Cambria Math"/>
            <w:lang w:val="en-GB"/>
          </w:rPr>
          <m:t>×</m:t>
        </m:r>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sj</m:t>
                </m:r>
              </m:sub>
            </m:sSub>
          </m:e>
        </m:acc>
        <m:r>
          <w:rPr>
            <w:rFonts w:ascii="Cambria Math" w:hAnsi="Cambria Math"/>
            <w:lang w:val="en-GB"/>
          </w:rPr>
          <m:t>+</m:t>
        </m:r>
        <m:sSubSup>
          <m:sSubSupPr>
            <m:ctrlPr>
              <w:rPr>
                <w:rFonts w:ascii="Cambria Math" w:eastAsia="Times New Roman" w:hAnsi="Cambria Math" w:cs="Times New Roman"/>
                <w:i/>
                <w:sz w:val="20"/>
                <w:szCs w:val="20"/>
                <w:lang w:val="en-GB"/>
              </w:rPr>
            </m:ctrlPr>
          </m:sSubSupPr>
          <m:e>
            <m:r>
              <w:rPr>
                <w:rFonts w:ascii="Cambria Math" w:hAnsi="Cambria Math"/>
              </w:rPr>
              <m:t>G</m:t>
            </m:r>
          </m:e>
          <m:sub>
            <m:r>
              <w:rPr>
                <w:rFonts w:ascii="Cambria Math" w:hAnsi="Cambria Math"/>
              </w:rPr>
              <m:t>max</m:t>
            </m:r>
          </m:sub>
          <m:sup>
            <m:r>
              <w:rPr>
                <w:rFonts w:ascii="Cambria Math" w:hAnsi="Cambria Math"/>
              </w:rPr>
              <m:t>+</m:t>
            </m:r>
          </m:sup>
        </m:sSubSup>
      </m:oMath>
      <w:r>
        <w:rPr>
          <w:lang w:val="en-GB"/>
        </w:rPr>
        <w:tab/>
      </w:r>
      <w:r w:rsidRPr="00445DD4">
        <w:rPr>
          <w:lang w:val="en-GB"/>
        </w:rPr>
        <w:t>(</w:t>
      </w:r>
      <w:bookmarkStart w:id="403" w:name="EQ_rs_equilibrium_ansatz"/>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71</w:t>
      </w:r>
      <w:r w:rsidRPr="00BA4315">
        <w:rPr>
          <w:rFonts w:ascii="Times New Roman" w:eastAsia="Times New Roman" w:hAnsi="Times New Roman" w:cs="Times New Roman"/>
          <w:noProof/>
          <w:sz w:val="20"/>
          <w:szCs w:val="20"/>
          <w:lang w:val="en-GB"/>
        </w:rPr>
        <w:fldChar w:fldCharType="end"/>
      </w:r>
      <w:bookmarkEnd w:id="403"/>
      <w:r w:rsidRPr="00445DD4">
        <w:rPr>
          <w:lang w:val="en-GB"/>
        </w:rPr>
        <w:t>)</w:t>
      </w:r>
    </w:p>
    <w:p w14:paraId="7998A223" w14:textId="77777777" w:rsidR="00D83CEF" w:rsidRDefault="00D83CEF" w:rsidP="00D83CEF">
      <w:r>
        <w:t xml:space="preserve">What results to a fixed equilibrium packet rate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r</m:t>
                </m:r>
              </m:e>
              <m:sub>
                <m:r>
                  <m:rPr>
                    <m:nor/>
                  </m:rPr>
                  <w:rPr>
                    <w:rFonts w:ascii="Cambria Math" w:hAnsi="Cambria Math"/>
                    <w:i/>
                  </w:rPr>
                  <m:t>sj</m:t>
                </m:r>
              </m:sub>
            </m:sSub>
          </m:e>
        </m:acc>
      </m:oMath>
      <w:r>
        <w:t xml:space="preserve"> independent of the channel utilization</w:t>
      </w:r>
    </w:p>
    <w:p w14:paraId="6F911A90" w14:textId="77777777" w:rsidR="00D83CEF" w:rsidRDefault="00D83CEF" w:rsidP="00D83CEF">
      <w:pPr>
        <w:pStyle w:val="MTDisplayEquation"/>
        <w:rPr>
          <w:lang w:val="en-GB"/>
        </w:rPr>
      </w:pPr>
      <w:r>
        <w:rPr>
          <w:lang w:val="en-GB"/>
        </w:rPr>
        <w:tab/>
      </w:r>
      <m:oMath>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r</m:t>
                </m:r>
              </m:e>
              <m:sub>
                <m:r>
                  <m:rPr>
                    <m:nor/>
                  </m:rPr>
                  <w:rPr>
                    <w:rFonts w:ascii="Cambria Math" w:hAnsi="Cambria Math"/>
                    <w:i/>
                  </w:rPr>
                  <m:t>sj</m:t>
                </m:r>
              </m:sub>
            </m:sSub>
          </m:e>
        </m:acc>
        <m:r>
          <w:rPr>
            <w:rFonts w:ascii="Cambria Math" w:hAnsi="Cambria Math"/>
            <w:lang w:val="en-GB"/>
          </w:rPr>
          <m:t>=</m:t>
        </m:r>
        <m:f>
          <m:fPr>
            <m:ctrlPr>
              <w:rPr>
                <w:rFonts w:ascii="Cambria Math" w:eastAsia="Times New Roman" w:hAnsi="Cambria Math" w:cs="Times New Roman"/>
                <w:i/>
                <w:sz w:val="20"/>
                <w:szCs w:val="20"/>
                <w:lang w:val="en-GB"/>
              </w:rPr>
            </m:ctrlPr>
          </m:fPr>
          <m:num>
            <m:sSubSup>
              <m:sSubSupPr>
                <m:ctrlPr>
                  <w:rPr>
                    <w:rFonts w:ascii="Cambria Math" w:eastAsia="Times New Roman" w:hAnsi="Cambria Math" w:cs="Times New Roman"/>
                    <w:i/>
                    <w:sz w:val="20"/>
                    <w:szCs w:val="20"/>
                    <w:lang w:val="en-GB"/>
                  </w:rPr>
                </m:ctrlPr>
              </m:sSubSupPr>
              <m:e>
                <m:r>
                  <w:rPr>
                    <w:rFonts w:ascii="Cambria Math" w:hAnsi="Cambria Math"/>
                  </w:rPr>
                  <m:t>G</m:t>
                </m:r>
              </m:e>
              <m:sub>
                <m:r>
                  <w:rPr>
                    <w:rFonts w:ascii="Cambria Math" w:hAnsi="Cambria Math"/>
                  </w:rPr>
                  <m:t>max</m:t>
                </m:r>
              </m:sub>
              <m:sup>
                <m:r>
                  <w:rPr>
                    <w:rFonts w:ascii="Cambria Math" w:hAnsi="Cambria Math"/>
                  </w:rPr>
                  <m:t>+</m:t>
                </m:r>
              </m:sup>
            </m:sSubSup>
          </m:num>
          <m:den>
            <m:r>
              <w:rPr>
                <w:rFonts w:ascii="Cambria Math" w:hAnsi="Cambria Math"/>
                <w:lang w:val="en-GB"/>
              </w:rPr>
              <m:t>∝</m:t>
            </m:r>
          </m:den>
        </m:f>
      </m:oMath>
      <w:r>
        <w:rPr>
          <w:rFonts w:eastAsiaTheme="minorEastAsia"/>
          <w:sz w:val="20"/>
          <w:szCs w:val="20"/>
          <w:lang w:val="en-GB"/>
        </w:rPr>
        <w:t>.</w:t>
      </w:r>
      <w:r>
        <w:rPr>
          <w:lang w:val="en-GB"/>
        </w:rPr>
        <w:tab/>
      </w:r>
      <w:r w:rsidRPr="00445DD4">
        <w:rPr>
          <w:lang w:val="en-GB"/>
        </w:rPr>
        <w:t>(</w:t>
      </w:r>
      <w:bookmarkStart w:id="404" w:name="EQ_rs_equilibrium"/>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72</w:t>
      </w:r>
      <w:r w:rsidRPr="00BA4315">
        <w:rPr>
          <w:rFonts w:ascii="Times New Roman" w:eastAsia="Times New Roman" w:hAnsi="Times New Roman" w:cs="Times New Roman"/>
          <w:noProof/>
          <w:sz w:val="20"/>
          <w:szCs w:val="20"/>
          <w:lang w:val="en-GB"/>
        </w:rPr>
        <w:fldChar w:fldCharType="end"/>
      </w:r>
      <w:bookmarkEnd w:id="404"/>
      <w:r w:rsidRPr="00445DD4">
        <w:rPr>
          <w:lang w:val="en-GB"/>
        </w:rPr>
        <w:t>)</w:t>
      </w:r>
    </w:p>
    <w:p w14:paraId="2CB4FE46" w14:textId="157F3EEF" w:rsidR="00D83CEF" w:rsidRDefault="00D83CEF" w:rsidP="00D83CEF">
      <w:r>
        <w:t>From equation </w:t>
      </w:r>
      <w:r>
        <w:fldChar w:fldCharType="begin"/>
      </w:r>
      <w:r>
        <w:instrText xml:space="preserve"> REF EQ_rs_equilibrium \h </w:instrText>
      </w:r>
      <w:r>
        <w:fldChar w:fldCharType="separate"/>
      </w:r>
      <w:r>
        <w:rPr>
          <w:noProof/>
        </w:rPr>
        <w:t>72</w:t>
      </w:r>
      <w:r>
        <w:fldChar w:fldCharType="end"/>
      </w:r>
      <w:r>
        <w:t xml:space="preserve"> follows with equation </w:t>
      </w:r>
      <w:r>
        <w:fldChar w:fldCharType="begin"/>
      </w:r>
      <w:r>
        <w:instrText xml:space="preserve"> REF EQ_CL_adaptive \h </w:instrText>
      </w:r>
      <w:r>
        <w:fldChar w:fldCharType="separate"/>
      </w:r>
      <w:r>
        <w:rPr>
          <w:noProof/>
        </w:rPr>
        <w:t>47</w:t>
      </w:r>
      <w:r>
        <w:fldChar w:fldCharType="end"/>
      </w:r>
      <w:r>
        <w:t xml:space="preserve"> a linear relation between </w:t>
      </w:r>
      <m:oMath>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oMath>
      <w:r>
        <w:t xml:space="preserve"> and the equilibrium channel load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CL</m:t>
                </m:r>
              </m:e>
              <m:sub>
                <m:r>
                  <w:rPr>
                    <w:rFonts w:ascii="Cambria Math" w:hAnsi="Cambria Math"/>
                  </w:rPr>
                  <m:t>as</m:t>
                </m:r>
              </m:sub>
            </m:sSub>
          </m:e>
        </m:acc>
      </m:oMath>
      <w:r>
        <w:t xml:space="preserve"> as shown by equation </w:t>
      </w:r>
      <w:r>
        <w:fldChar w:fldCharType="begin"/>
      </w:r>
      <w:r>
        <w:instrText xml:space="preserve"> REF EQ_CLas_equilibrium \h </w:instrText>
      </w:r>
      <w:r>
        <w:fldChar w:fldCharType="separate"/>
      </w:r>
      <w:r>
        <w:rPr>
          <w:noProof/>
        </w:rPr>
        <w:t>73</w:t>
      </w:r>
      <w:r>
        <w:fldChar w:fldCharType="end"/>
      </w:r>
      <w:r>
        <w:t xml:space="preserve"> for cannel loads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t xml:space="preserve"> within the lower </w:t>
      </w:r>
      <w:r w:rsidRPr="00C53B80">
        <w:t>gain saturation</w:t>
      </w:r>
      <w:r>
        <w:t xml:space="preserve"> area (see </w:t>
      </w:r>
      <w:r>
        <w:fldChar w:fldCharType="begin"/>
      </w:r>
      <w:r>
        <w:instrText xml:space="preserve"> REF _Ref195808484 \h </w:instrText>
      </w:r>
      <w:r>
        <w:fldChar w:fldCharType="separate"/>
      </w:r>
      <w:r w:rsidR="00A83239" w:rsidRPr="00445DD4">
        <w:t xml:space="preserve">Figure </w:t>
      </w:r>
      <w:r w:rsidR="00A83239">
        <w:rPr>
          <w:noProof/>
        </w:rPr>
        <w:t>34</w:t>
      </w:r>
      <w:r>
        <w:fldChar w:fldCharType="end"/>
      </w:r>
      <w:r>
        <w:t>).</w:t>
      </w:r>
    </w:p>
    <w:p w14:paraId="368B95ED" w14:textId="77777777" w:rsidR="00D83CEF" w:rsidRDefault="00D83CEF" w:rsidP="00D83CEF">
      <w:pPr>
        <w:pStyle w:val="MTDisplayEquation"/>
        <w:rPr>
          <w:lang w:val="en-GB"/>
        </w:rPr>
      </w:pPr>
      <w:r>
        <w:rPr>
          <w:lang w:val="en-GB"/>
        </w:rPr>
        <w:tab/>
      </w:r>
      <m:oMath>
        <m:acc>
          <m:accPr>
            <m:chr m:val="̃"/>
            <m:ctrlPr>
              <w:rPr>
                <w:rFonts w:ascii="Cambria Math" w:eastAsia="Times New Roman" w:hAnsi="Cambria Math" w:cs="Times New Roman"/>
                <w:i/>
                <w:sz w:val="20"/>
                <w:szCs w:val="20"/>
                <w:lang w:val="en-GB"/>
              </w:rPr>
            </m:ctrlPr>
          </m:accPr>
          <m:e>
            <m:sSub>
              <m:sSubPr>
                <m:ctrlPr>
                  <w:rPr>
                    <w:rFonts w:ascii="Cambria Math" w:hAnsi="Cambria Math"/>
                    <w:i/>
                    <w:lang w:val="en-GB"/>
                  </w:rPr>
                </m:ctrlPr>
              </m:sSubPr>
              <m:e>
                <m:r>
                  <w:rPr>
                    <w:rFonts w:ascii="Cambria Math" w:hAnsi="Cambria Math"/>
                    <w:lang w:val="en-GB"/>
                  </w:rPr>
                  <m:t>CL</m:t>
                </m:r>
              </m:e>
              <m:sub>
                <m:r>
                  <w:rPr>
                    <w:rFonts w:ascii="Cambria Math" w:hAnsi="Cambria Math"/>
                  </w:rPr>
                  <m:t>as</m:t>
                </m:r>
              </m:sub>
            </m:sSub>
          </m:e>
        </m:acc>
        <m:r>
          <w:rPr>
            <w:rFonts w:ascii="Cambria Math" w:hAnsi="Cambria Math"/>
            <w:lang w:val="en-GB"/>
          </w:rPr>
          <m:t>=</m:t>
        </m:r>
        <m:f>
          <m:fPr>
            <m:ctrlPr>
              <w:rPr>
                <w:rFonts w:ascii="Cambria Math" w:eastAsia="Times New Roman" w:hAnsi="Cambria Math" w:cs="Times New Roman"/>
                <w:i/>
                <w:sz w:val="20"/>
                <w:szCs w:val="20"/>
                <w:lang w:val="en-GB"/>
              </w:rPr>
            </m:ctrlPr>
          </m:fPr>
          <m:num>
            <m:sSubSup>
              <m:sSubSupPr>
                <m:ctrlPr>
                  <w:rPr>
                    <w:rFonts w:ascii="Cambria Math" w:eastAsia="Times New Roman" w:hAnsi="Cambria Math" w:cs="Times New Roman"/>
                    <w:i/>
                    <w:sz w:val="20"/>
                    <w:szCs w:val="20"/>
                    <w:lang w:val="en-GB"/>
                  </w:rPr>
                </m:ctrlPr>
              </m:sSubSupPr>
              <m:e>
                <m:r>
                  <w:rPr>
                    <w:rFonts w:ascii="Cambria Math" w:hAnsi="Cambria Math"/>
                  </w:rPr>
                  <m:t>G</m:t>
                </m:r>
              </m:e>
              <m:sub>
                <m:r>
                  <w:rPr>
                    <w:rFonts w:ascii="Cambria Math" w:hAnsi="Cambria Math"/>
                  </w:rPr>
                  <m:t>max</m:t>
                </m:r>
              </m:sub>
              <m:sup>
                <m:r>
                  <w:rPr>
                    <w:rFonts w:ascii="Cambria Math" w:hAnsi="Cambria Math"/>
                  </w:rPr>
                  <m:t>+</m:t>
                </m:r>
              </m:sup>
            </m:sSubSup>
          </m:num>
          <m:den>
            <m:r>
              <w:rPr>
                <w:rFonts w:ascii="Cambria Math" w:hAnsi="Cambria Math"/>
                <w:lang w:val="en-GB"/>
              </w:rPr>
              <m:t>∝</m:t>
            </m:r>
          </m:den>
        </m:f>
        <m:r>
          <w:rPr>
            <w:rFonts w:ascii="Cambria Math" w:eastAsia="Times New Roman" w:hAnsi="Cambria Math" w:cs="Times New Roman"/>
            <w:sz w:val="20"/>
            <w:szCs w:val="20"/>
            <w:lang w:val="en-GB"/>
          </w:rPr>
          <m:t>×N×</m:t>
        </m:r>
        <m:sSub>
          <m:sSubPr>
            <m:ctrlPr>
              <w:rPr>
                <w:rFonts w:ascii="Cambria Math" w:eastAsia="Times New Roman" w:hAnsi="Cambria Math" w:cs="Times New Roman"/>
                <w:i/>
                <w:sz w:val="20"/>
                <w:szCs w:val="20"/>
                <w:lang w:val="en-GB"/>
              </w:rPr>
            </m:ctrlPr>
          </m:sSubPr>
          <m:e>
            <m:r>
              <w:rPr>
                <w:rFonts w:ascii="Cambria Math" w:eastAsia="Times New Roman" w:hAnsi="Cambria Math" w:cs="Times New Roman"/>
                <w:sz w:val="20"/>
                <w:szCs w:val="20"/>
                <w:lang w:val="en-GB"/>
              </w:rPr>
              <m:t>T</m:t>
            </m:r>
          </m:e>
          <m:sub>
            <m:r>
              <w:rPr>
                <w:rFonts w:ascii="Cambria Math" w:eastAsia="Times New Roman" w:hAnsi="Cambria Math" w:cs="Times New Roman"/>
                <w:sz w:val="20"/>
                <w:szCs w:val="20"/>
                <w:lang w:val="en-GB"/>
              </w:rPr>
              <m:t>on</m:t>
            </m:r>
          </m:sub>
        </m:sSub>
      </m:oMath>
      <w:r>
        <w:rPr>
          <w:lang w:val="en-GB"/>
        </w:rPr>
        <w:tab/>
      </w:r>
      <w:r w:rsidRPr="00445DD4">
        <w:rPr>
          <w:lang w:val="en-GB"/>
        </w:rPr>
        <w:t>(</w:t>
      </w:r>
      <w:bookmarkStart w:id="405" w:name="EQ_CLas_equilibrium"/>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73</w:t>
      </w:r>
      <w:r w:rsidRPr="00BA4315">
        <w:rPr>
          <w:rFonts w:ascii="Times New Roman" w:eastAsia="Times New Roman" w:hAnsi="Times New Roman" w:cs="Times New Roman"/>
          <w:noProof/>
          <w:sz w:val="20"/>
          <w:szCs w:val="20"/>
          <w:lang w:val="en-GB"/>
        </w:rPr>
        <w:fldChar w:fldCharType="end"/>
      </w:r>
      <w:bookmarkEnd w:id="405"/>
      <w:r w:rsidRPr="00445DD4">
        <w:rPr>
          <w:lang w:val="en-GB"/>
        </w:rPr>
        <w:t>)</w:t>
      </w:r>
    </w:p>
    <w:p w14:paraId="24037E6A" w14:textId="77777777" w:rsidR="00D83CEF" w:rsidRDefault="00D83CEF" w:rsidP="00D83CEF">
      <w:r>
        <w:t xml:space="preserve">The gain saturation areas result from the gain saturation values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t xml:space="preserve"> and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t xml:space="preserve"> that are replacing </w:t>
      </w:r>
      <m:oMath>
        <m:r>
          <w:rPr>
            <w:rFonts w:ascii="Cambria Math" w:hAnsi="Cambria Math"/>
          </w:rPr>
          <m:t>β</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rPr>
                </m:ctrlPr>
              </m:dPr>
              <m:e>
                <m:r>
                  <w:rPr>
                    <w:rFonts w:ascii="Cambria Math" w:hAnsi="Cambria Math"/>
                  </w:rPr>
                  <m:t>t</m:t>
                </m:r>
                <m:r>
                  <m:rPr>
                    <m:sty m:val="p"/>
                  </m:rPr>
                  <w:rPr>
                    <w:rFonts w:ascii="Cambria Math" w:hAnsi="Cambria Math"/>
                  </w:rPr>
                  <m:t>-τ</m:t>
                </m:r>
              </m:e>
            </m:d>
          </m:e>
        </m:d>
      </m:oMath>
      <w:r>
        <w:t xml:space="preserve"> in equation </w:t>
      </w:r>
      <w:r>
        <w:fldChar w:fldCharType="begin"/>
      </w:r>
      <w:r>
        <w:instrText xml:space="preserve"> REF EQ_r_equilibrium \h </w:instrText>
      </w:r>
      <w:r>
        <w:fldChar w:fldCharType="separate"/>
      </w:r>
      <w:r>
        <w:rPr>
          <w:noProof/>
        </w:rPr>
        <w:t>48</w:t>
      </w:r>
      <w:r>
        <w:fldChar w:fldCharType="end"/>
      </w:r>
      <w:r>
        <w:t xml:space="preserve">. Based on this the gain saturation areas are given by an upper area with a lower bound </w:t>
      </w:r>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w:r>
        <w:rPr>
          <w:sz w:val="22"/>
          <w:szCs w:val="22"/>
          <w:lang w:val="en-US"/>
        </w:rPr>
        <w:t xml:space="preserve"> </w:t>
      </w:r>
      <w:r>
        <w:t>as shown in equation </w:t>
      </w:r>
      <w:r>
        <w:fldChar w:fldCharType="begin"/>
      </w:r>
      <w:r>
        <w:instrText xml:space="preserve"> REF EQ_CLa_minus \h </w:instrText>
      </w:r>
      <w:r>
        <w:fldChar w:fldCharType="separate"/>
      </w:r>
      <w:r>
        <w:rPr>
          <w:noProof/>
        </w:rPr>
        <w:t>74</w:t>
      </w:r>
      <w:r>
        <w:fldChar w:fldCharType="end"/>
      </w:r>
      <w:r>
        <w:t xml:space="preserve"> and a lower area with an upper bound </w:t>
      </w:r>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w:r>
        <w:rPr>
          <w:sz w:val="22"/>
          <w:szCs w:val="22"/>
          <w:lang w:val="en-US"/>
        </w:rPr>
        <w:t xml:space="preserve"> </w:t>
      </w:r>
      <w:r>
        <w:t>as shown in equation </w:t>
      </w:r>
      <w:r>
        <w:fldChar w:fldCharType="begin"/>
      </w:r>
      <w:r>
        <w:instrText xml:space="preserve"> REF EQ_CLa_plus \h </w:instrText>
      </w:r>
      <w:r>
        <w:fldChar w:fldCharType="separate"/>
      </w:r>
      <w:r>
        <w:rPr>
          <w:noProof/>
        </w:rPr>
        <w:t>75</w:t>
      </w:r>
      <w:r>
        <w:fldChar w:fldCharType="end"/>
      </w:r>
      <w:r>
        <w:t>.</w:t>
      </w:r>
    </w:p>
    <w:p w14:paraId="35156FC4" w14:textId="77777777" w:rsidR="00D83CEF" w:rsidRDefault="00D83CEF" w:rsidP="00D83CEF">
      <w:pPr>
        <w:pStyle w:val="MTDisplayEquation"/>
        <w:rPr>
          <w:lang w:val="en-GB"/>
        </w:rPr>
      </w:pPr>
      <w:r>
        <w:rPr>
          <w:lang w:val="en-GB"/>
        </w:rPr>
        <w:tab/>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num>
          <m:den>
            <m:r>
              <w:rPr>
                <w:rFonts w:ascii="Cambria Math" w:hAnsi="Cambria Math"/>
              </w:rPr>
              <m:t>β</m:t>
            </m:r>
          </m:den>
        </m:f>
      </m:oMath>
      <w:r>
        <w:rPr>
          <w:lang w:val="en-GB"/>
        </w:rPr>
        <w:tab/>
      </w:r>
      <w:r w:rsidRPr="00445DD4">
        <w:rPr>
          <w:lang w:val="en-GB"/>
        </w:rPr>
        <w:t>(</w:t>
      </w:r>
      <w:bookmarkStart w:id="406" w:name="EQ_CLa_minus"/>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74</w:t>
      </w:r>
      <w:r w:rsidRPr="00BA4315">
        <w:rPr>
          <w:rFonts w:ascii="Times New Roman" w:eastAsia="Times New Roman" w:hAnsi="Times New Roman" w:cs="Times New Roman"/>
          <w:noProof/>
          <w:sz w:val="20"/>
          <w:szCs w:val="20"/>
          <w:lang w:val="en-GB"/>
        </w:rPr>
        <w:fldChar w:fldCharType="end"/>
      </w:r>
      <w:bookmarkEnd w:id="406"/>
      <w:r w:rsidRPr="00445DD4">
        <w:rPr>
          <w:lang w:val="en-GB"/>
        </w:rPr>
        <w:t>)</w:t>
      </w:r>
    </w:p>
    <w:p w14:paraId="126D8214" w14:textId="77777777" w:rsidR="00D83CEF" w:rsidRDefault="00D83CEF" w:rsidP="00D83CEF">
      <w:pPr>
        <w:pStyle w:val="MTDisplayEquation"/>
        <w:rPr>
          <w:lang w:val="en-GB"/>
        </w:rPr>
      </w:pPr>
      <w:r>
        <w:rPr>
          <w:lang w:val="en-GB"/>
        </w:rPr>
        <w:tab/>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m:rPr>
            <m:sty m:val="p"/>
          </m:rP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num>
          <m:den>
            <m:r>
              <w:rPr>
                <w:rFonts w:ascii="Cambria Math" w:hAnsi="Cambria Math"/>
              </w:rPr>
              <m:t>β</m:t>
            </m:r>
          </m:den>
        </m:f>
      </m:oMath>
      <w:r>
        <w:rPr>
          <w:lang w:val="en-GB"/>
        </w:rPr>
        <w:tab/>
      </w:r>
      <w:r w:rsidRPr="00445DD4">
        <w:rPr>
          <w:lang w:val="en-GB"/>
        </w:rPr>
        <w:t>(</w:t>
      </w:r>
      <w:bookmarkStart w:id="407" w:name="EQ_CLa_plus"/>
      <w:r w:rsidRPr="00BA4315">
        <w:rPr>
          <w:rFonts w:ascii="Times New Roman" w:eastAsia="Times New Roman" w:hAnsi="Times New Roman" w:cs="Times New Roman"/>
          <w:noProof/>
          <w:sz w:val="20"/>
          <w:szCs w:val="20"/>
          <w:lang w:val="en-GB"/>
        </w:rPr>
        <w:fldChar w:fldCharType="begin"/>
      </w:r>
      <w:r w:rsidRPr="00BA4315">
        <w:rPr>
          <w:rFonts w:ascii="Times New Roman" w:eastAsia="Times New Roman" w:hAnsi="Times New Roman" w:cs="Times New Roman"/>
          <w:noProof/>
          <w:sz w:val="20"/>
          <w:szCs w:val="20"/>
          <w:lang w:val="en-GB"/>
        </w:rPr>
        <w:instrText xml:space="preserve"> SEQ Eq \* MERGEFORMAT </w:instrText>
      </w:r>
      <w:r w:rsidRPr="00BA4315">
        <w:rPr>
          <w:rFonts w:ascii="Times New Roman" w:eastAsia="Times New Roman" w:hAnsi="Times New Roman" w:cs="Times New Roman"/>
          <w:noProof/>
          <w:sz w:val="20"/>
          <w:szCs w:val="20"/>
          <w:lang w:val="en-GB"/>
        </w:rPr>
        <w:fldChar w:fldCharType="separate"/>
      </w:r>
      <w:r>
        <w:rPr>
          <w:rFonts w:ascii="Times New Roman" w:eastAsia="Times New Roman" w:hAnsi="Times New Roman" w:cs="Times New Roman"/>
          <w:noProof/>
          <w:sz w:val="20"/>
          <w:szCs w:val="20"/>
          <w:lang w:val="en-GB"/>
        </w:rPr>
        <w:t>75</w:t>
      </w:r>
      <w:r w:rsidRPr="00BA4315">
        <w:rPr>
          <w:rFonts w:ascii="Times New Roman" w:eastAsia="Times New Roman" w:hAnsi="Times New Roman" w:cs="Times New Roman"/>
          <w:noProof/>
          <w:sz w:val="20"/>
          <w:szCs w:val="20"/>
          <w:lang w:val="en-GB"/>
        </w:rPr>
        <w:fldChar w:fldCharType="end"/>
      </w:r>
      <w:bookmarkEnd w:id="407"/>
      <w:r w:rsidRPr="00445DD4">
        <w:rPr>
          <w:lang w:val="en-GB"/>
        </w:rPr>
        <w:t>)</w:t>
      </w:r>
    </w:p>
    <w:p w14:paraId="0E2404DF" w14:textId="2B37653B" w:rsidR="00D83CEF" w:rsidRDefault="00D83CEF" w:rsidP="00D83CEF">
      <w:r>
        <w:fldChar w:fldCharType="begin"/>
      </w:r>
      <w:r>
        <w:instrText xml:space="preserve"> REF _Ref195808484 \h </w:instrText>
      </w:r>
      <w:r>
        <w:fldChar w:fldCharType="separate"/>
      </w:r>
      <w:r w:rsidR="00A83239" w:rsidRPr="00445DD4">
        <w:t xml:space="preserve">Figure </w:t>
      </w:r>
      <w:r w:rsidR="00A83239">
        <w:rPr>
          <w:noProof/>
        </w:rPr>
        <w:t>34</w:t>
      </w:r>
      <w:r>
        <w:fldChar w:fldCharType="end"/>
      </w:r>
      <w:r>
        <w:t xml:space="preserve"> shows these areas and the impact of the gain saturation on the equilibrium channel load for the parameter values given</w:t>
      </w:r>
      <w:r w:rsidRPr="001831D2">
        <w:rPr>
          <w:noProof/>
        </w:rPr>
        <w:t xml:space="preserve"> </w:t>
      </w:r>
      <w:r>
        <w:t>in Table 3 of [</w:t>
      </w:r>
      <w:r w:rsidRPr="00436A20">
        <w:t>ETSI</w:t>
      </w:r>
      <w:r>
        <w:t> </w:t>
      </w:r>
      <w:r w:rsidRPr="00436A20">
        <w:t>TS</w:t>
      </w:r>
      <w:r>
        <w:t> </w:t>
      </w:r>
      <w:r w:rsidRPr="00436A20">
        <w:t>102</w:t>
      </w:r>
      <w:r>
        <w:t> </w:t>
      </w:r>
      <w:r w:rsidRPr="00436A20">
        <w:t>687</w:t>
      </w:r>
      <w:r>
        <w:t> </w:t>
      </w:r>
      <w:r w:rsidRPr="00436A20">
        <w:t>V1.2.1</w:t>
      </w:r>
      <w:r>
        <w:t xml:space="preserve">]. It can be seen that in the gain saturation area below </w:t>
      </w:r>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w:r>
        <w:rPr>
          <w:sz w:val="22"/>
          <w:szCs w:val="22"/>
          <w:lang w:val="en-US"/>
        </w:rPr>
        <w:t xml:space="preserve"> </w:t>
      </w:r>
      <w:r>
        <w:t>the equilibrium channel load follows the linear relation given by equation </w:t>
      </w:r>
      <w:r>
        <w:fldChar w:fldCharType="begin"/>
      </w:r>
      <w:r>
        <w:instrText xml:space="preserve"> REF EQ_CLas_equilibrium \h </w:instrText>
      </w:r>
      <w:r>
        <w:fldChar w:fldCharType="separate"/>
      </w:r>
      <w:r>
        <w:rPr>
          <w:noProof/>
        </w:rPr>
        <w:t>73</w:t>
      </w:r>
      <w:r>
        <w:fldChar w:fldCharType="end"/>
      </w:r>
      <w:r>
        <w:t xml:space="preserve">, while above </w:t>
      </w:r>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w:r>
        <w:rPr>
          <w:sz w:val="22"/>
          <w:szCs w:val="22"/>
          <w:lang w:val="en-US"/>
        </w:rPr>
        <w:t xml:space="preserve"> </w:t>
      </w:r>
      <w:r>
        <w:t xml:space="preserve">it follows the </w:t>
      </w:r>
      <w:r w:rsidR="00183025">
        <w:t>non-linear</w:t>
      </w:r>
      <w:r>
        <w:t xml:space="preserve"> </w:t>
      </w:r>
      <w:r w:rsidRPr="00C53B80">
        <w:t>equation </w:t>
      </w:r>
      <w:r>
        <w:fldChar w:fldCharType="begin"/>
      </w:r>
      <w:r w:rsidRPr="00C53B80">
        <w:instrText xml:space="preserve"> REF EQ_CBR_LIMERIC \h </w:instrText>
      </w:r>
      <w:r>
        <w:fldChar w:fldCharType="separate"/>
      </w:r>
      <w:r>
        <w:rPr>
          <w:noProof/>
        </w:rPr>
        <w:t>50</w:t>
      </w:r>
      <w:r>
        <w:fldChar w:fldCharType="end"/>
      </w:r>
      <w:r>
        <w:t>. The upper gain saturation area is only reached in dynamic channel load scenarios. It has no influence on the equilibrium channel load.</w:t>
      </w:r>
    </w:p>
    <w:p w14:paraId="16DB9D0E" w14:textId="77777777" w:rsidR="00D83CEF" w:rsidRDefault="00D83CEF" w:rsidP="00D83CEF">
      <w:pPr>
        <w:pStyle w:val="FL"/>
      </w:pPr>
      <w:r>
        <w:rPr>
          <w:noProof/>
        </w:rPr>
        <mc:AlternateContent>
          <mc:Choice Requires="wps">
            <w:drawing>
              <wp:anchor distT="0" distB="0" distL="114300" distR="114300" simplePos="0" relativeHeight="251660288" behindDoc="0" locked="0" layoutInCell="1" allowOverlap="1" wp14:anchorId="2EDB8F4A" wp14:editId="3814CB4C">
                <wp:simplePos x="0" y="0"/>
                <wp:positionH relativeFrom="column">
                  <wp:posOffset>2710124</wp:posOffset>
                </wp:positionH>
                <wp:positionV relativeFrom="paragraph">
                  <wp:posOffset>1728470</wp:posOffset>
                </wp:positionV>
                <wp:extent cx="1823720" cy="276225"/>
                <wp:effectExtent l="0" t="0" r="0" b="0"/>
                <wp:wrapNone/>
                <wp:docPr id="1813986234" name="Textfeld 3"/>
                <wp:cNvGraphicFramePr/>
                <a:graphic xmlns:a="http://schemas.openxmlformats.org/drawingml/2006/main">
                  <a:graphicData uri="http://schemas.microsoft.com/office/word/2010/wordprocessingShape">
                    <wps:wsp>
                      <wps:cNvSpPr txBox="1"/>
                      <wps:spPr>
                        <a:xfrm>
                          <a:off x="0" y="0"/>
                          <a:ext cx="1823720" cy="276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197AF81" w14:textId="77777777" w:rsidR="00D83CEF" w:rsidRDefault="00D83CEF" w:rsidP="00D83CEF">
                            <w:pPr>
                              <w:rPr>
                                <w:rFonts w:asciiTheme="minorHAnsi" w:hAnsi="Calibri" w:cstheme="minorBidi"/>
                                <w:color w:val="000000" w:themeColor="dark1"/>
                                <w:sz w:val="22"/>
                                <w:szCs w:val="22"/>
                              </w:rPr>
                            </w:pPr>
                            <w:r>
                              <w:rPr>
                                <w:rFonts w:asciiTheme="minorHAnsi" w:hAnsi="Calibri" w:cstheme="minorBidi"/>
                                <w:color w:val="000000" w:themeColor="dark1"/>
                                <w:sz w:val="22"/>
                                <w:szCs w:val="22"/>
                              </w:rPr>
                              <w:t>Lower gain saturation area</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2EDB8F4A" id="_x0000_t202" coordsize="21600,21600" o:spt="202" path="m,l,21600r21600,l21600,xe">
                <v:stroke joinstyle="miter"/>
                <v:path gradientshapeok="t" o:connecttype="rect"/>
              </v:shapetype>
              <v:shape id="Textfeld 3" o:spid="_x0000_s1026" type="#_x0000_t202" style="position:absolute;left:0;text-align:left;margin-left:213.4pt;margin-top:136.1pt;width:143.6pt;height:2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" filled="f" stroked="f">
                <v:textbox>
                  <w:txbxContent>
                    <w:p w14:paraId="0197AF81" w14:textId="77777777" w:rsidR="00D83CEF" w:rsidRDefault="00D83CEF" w:rsidP="00D83CEF">
                      <w:pPr>
                        <w:rPr>
                          <w:rFonts w:asciiTheme="minorHAnsi" w:hAnsi="Calibri" w:cstheme="minorBidi"/>
                          <w:color w:val="000000" w:themeColor="dark1"/>
                          <w:sz w:val="22"/>
                          <w:szCs w:val="22"/>
                        </w:rPr>
                      </w:pPr>
                      <w:r>
                        <w:rPr>
                          <w:rFonts w:asciiTheme="minorHAnsi" w:hAnsi="Calibri" w:cstheme="minorBidi"/>
                          <w:color w:val="000000" w:themeColor="dark1"/>
                          <w:sz w:val="22"/>
                          <w:szCs w:val="22"/>
                        </w:rPr>
                        <w:t>Lower gain saturation area</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10C7EC0B" wp14:editId="60B715C5">
                <wp:simplePos x="0" y="0"/>
                <wp:positionH relativeFrom="column">
                  <wp:posOffset>2712957</wp:posOffset>
                </wp:positionH>
                <wp:positionV relativeFrom="paragraph">
                  <wp:posOffset>76088</wp:posOffset>
                </wp:positionV>
                <wp:extent cx="1763486" cy="276225"/>
                <wp:effectExtent l="0" t="0" r="0" b="0"/>
                <wp:wrapNone/>
                <wp:docPr id="1287421541" name="Textfeld 3"/>
                <wp:cNvGraphicFramePr/>
                <a:graphic xmlns:a="http://schemas.openxmlformats.org/drawingml/2006/main">
                  <a:graphicData uri="http://schemas.microsoft.com/office/word/2010/wordprocessingShape">
                    <wps:wsp>
                      <wps:cNvSpPr txBox="1"/>
                      <wps:spPr>
                        <a:xfrm>
                          <a:off x="0" y="0"/>
                          <a:ext cx="1763486" cy="276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0315D758" w14:textId="77777777" w:rsidR="00D83CEF" w:rsidRDefault="00D83CEF" w:rsidP="00D83CEF">
                            <w:pPr>
                              <w:rPr>
                                <w:rFonts w:asciiTheme="minorHAnsi" w:hAnsi="Calibri" w:cstheme="minorBidi"/>
                                <w:color w:val="000000" w:themeColor="dark1"/>
                                <w:sz w:val="22"/>
                                <w:szCs w:val="22"/>
                              </w:rPr>
                            </w:pPr>
                            <w:r>
                              <w:rPr>
                                <w:rFonts w:asciiTheme="minorHAnsi" w:hAnsi="Calibri" w:cstheme="minorBidi"/>
                                <w:color w:val="000000" w:themeColor="dark1"/>
                                <w:sz w:val="22"/>
                                <w:szCs w:val="22"/>
                              </w:rPr>
                              <w:t>Upper gain saturation area</w:t>
                            </w:r>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10C7EC0B" id="_x0000_s1027" type="#_x0000_t202" style="position:absolute;left:0;text-align:left;margin-left:213.6pt;margin-top:6pt;width:138.85pt;height:2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" filled="f" stroked="f">
                <v:textbox>
                  <w:txbxContent>
                    <w:p w14:paraId="0315D758" w14:textId="77777777" w:rsidR="00D83CEF" w:rsidRDefault="00D83CEF" w:rsidP="00D83CEF">
                      <w:pPr>
                        <w:rPr>
                          <w:rFonts w:asciiTheme="minorHAnsi" w:hAnsi="Calibri" w:cstheme="minorBidi"/>
                          <w:color w:val="000000" w:themeColor="dark1"/>
                          <w:sz w:val="22"/>
                          <w:szCs w:val="22"/>
                        </w:rPr>
                      </w:pPr>
                      <w:r>
                        <w:rPr>
                          <w:rFonts w:asciiTheme="minorHAnsi" w:hAnsi="Calibri" w:cstheme="minorBidi"/>
                          <w:color w:val="000000" w:themeColor="dark1"/>
                          <w:sz w:val="22"/>
                          <w:szCs w:val="22"/>
                        </w:rPr>
                        <w:t>Upper gain saturation area</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6ACB141C" wp14:editId="0BCF6572">
                <wp:simplePos x="0" y="0"/>
                <wp:positionH relativeFrom="column">
                  <wp:posOffset>4782130</wp:posOffset>
                </wp:positionH>
                <wp:positionV relativeFrom="paragraph">
                  <wp:posOffset>1472977</wp:posOffset>
                </wp:positionV>
                <wp:extent cx="401934" cy="276302"/>
                <wp:effectExtent l="0" t="0" r="0" b="0"/>
                <wp:wrapNone/>
                <wp:docPr id="1881376657" name="Textfeld 3"/>
                <wp:cNvGraphicFramePr/>
                <a:graphic xmlns:a="http://schemas.openxmlformats.org/drawingml/2006/main">
                  <a:graphicData uri="http://schemas.microsoft.com/office/word/2010/wordprocessingShape">
                    <wps:wsp>
                      <wps:cNvSpPr txBox="1"/>
                      <wps:spPr>
                        <a:xfrm>
                          <a:off x="0" y="0"/>
                          <a:ext cx="401934" cy="2763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0E2D3F9" w14:textId="77777777" w:rsidR="00D83CEF" w:rsidRDefault="00F52C92"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eastAsiaTheme="minorHAnsi" w:hAnsi="Cambria Math" w:cstheme="minorBidi"/>
                                        <w:sz w:val="22"/>
                                        <w:szCs w:val="22"/>
                                        <w:lang w:val="en-US"/>
                                      </w:rPr>
                                      <m:t>+</m:t>
                                    </m:r>
                                  </m:sup>
                                </m:sSubSup>
                              </m:oMath>
                            </m:oMathPara>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6ACB141C" id="_x0000_s1028" type="#_x0000_t202" style="position:absolute;left:0;text-align:left;margin-left:376.55pt;margin-top:116pt;width:31.65pt;height:2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" filled="f" stroked="f">
                <v:textbox>
                  <w:txbxContent>
                    <w:p w14:paraId="40E2D3F9" w14:textId="77777777" w:rsidR="00D83CEF" w:rsidRDefault="00D83CEF"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eastAsiaTheme="minorHAnsi" w:hAnsi="Cambria Math" w:cstheme="minorBidi"/>
                                  <w:sz w:val="22"/>
                                  <w:szCs w:val="22"/>
                                  <w:lang w:val="en-US"/>
                                </w:rPr>
                                <m:t>+</m:t>
                              </m:r>
                            </m:sup>
                          </m:sSubSup>
                        </m:oMath>
                      </m:oMathPara>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2E736FDA" wp14:editId="1D96C2D5">
                <wp:simplePos x="0" y="0"/>
                <wp:positionH relativeFrom="column">
                  <wp:posOffset>4841142</wp:posOffset>
                </wp:positionH>
                <wp:positionV relativeFrom="paragraph">
                  <wp:posOffset>84455</wp:posOffset>
                </wp:positionV>
                <wp:extent cx="401934" cy="276302"/>
                <wp:effectExtent l="0" t="0" r="0" b="0"/>
                <wp:wrapNone/>
                <wp:docPr id="2139874166" name="Textfeld 3"/>
                <wp:cNvGraphicFramePr/>
                <a:graphic xmlns:a="http://schemas.openxmlformats.org/drawingml/2006/main">
                  <a:graphicData uri="http://schemas.microsoft.com/office/word/2010/wordprocessingShape">
                    <wps:wsp>
                      <wps:cNvSpPr txBox="1"/>
                      <wps:spPr>
                        <a:xfrm>
                          <a:off x="0" y="0"/>
                          <a:ext cx="401934" cy="276302"/>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0A3425B" w14:textId="77777777" w:rsidR="00D83CEF" w:rsidRDefault="00F52C92"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m:oMathPara>
                          </w:p>
                        </w:txbxContent>
                      </wps:txbx>
                      <wps:bodyPr vertOverflow="clip" horzOverflow="clip"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2E736FDA" id="_x0000_s1029" type="#_x0000_t202" style="position:absolute;left:0;text-align:left;margin-left:381.2pt;margin-top:6.65pt;width:31.65pt;height:21.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" filled="f" stroked="f">
                <v:textbox>
                  <w:txbxContent>
                    <w:p w14:paraId="40A3425B" w14:textId="77777777" w:rsidR="00D83CEF" w:rsidRDefault="00D83CEF" w:rsidP="00D83CEF">
                      <w:pPr>
                        <w:rPr>
                          <w:rFonts w:asciiTheme="minorHAnsi" w:hAnsi="Calibri" w:cstheme="minorBidi"/>
                          <w:color w:val="000000" w:themeColor="dark1"/>
                          <w:sz w:val="22"/>
                          <w:szCs w:val="22"/>
                        </w:rPr>
                      </w:pPr>
                      <m:oMathPara>
                        <m:oMath>
                          <m:sSubSup>
                            <m:sSubSupPr>
                              <m:ctrlPr>
                                <w:rPr>
                                  <w:rFonts w:ascii="Cambria Math" w:eastAsiaTheme="minorHAnsi" w:hAnsi="Cambria Math" w:cstheme="minorBidi"/>
                                  <w:i/>
                                  <w:sz w:val="22"/>
                                  <w:szCs w:val="22"/>
                                  <w:lang w:val="en-US"/>
                                </w:rPr>
                              </m:ctrlPr>
                            </m:sSubSupPr>
                            <m:e>
                              <m:r>
                                <w:rPr>
                                  <w:rFonts w:ascii="Cambria Math" w:hAnsi="Cambria Math"/>
                                </w:rPr>
                                <m:t>CL</m:t>
                              </m:r>
                            </m:e>
                            <m:sub>
                              <m:r>
                                <w:rPr>
                                  <w:rFonts w:ascii="Cambria Math" w:hAnsi="Cambria Math"/>
                                </w:rPr>
                                <m:t>a</m:t>
                              </m:r>
                            </m:sub>
                            <m:sup>
                              <m:r>
                                <w:rPr>
                                  <w:rFonts w:ascii="Cambria Math" w:hAnsi="Cambria Math"/>
                                </w:rPr>
                                <m:t>-</m:t>
                              </m:r>
                            </m:sup>
                          </m:sSubSup>
                        </m:oMath>
                      </m:oMathPara>
                    </w:p>
                  </w:txbxContent>
                </v:textbox>
              </v:shape>
            </w:pict>
          </mc:Fallback>
        </mc:AlternateContent>
      </w:r>
      <w:r w:rsidRPr="001831D2">
        <w:rPr>
          <w:noProof/>
        </w:rPr>
        <w:drawing>
          <wp:inline distT="0" distB="0" distL="0" distR="0" wp14:anchorId="3BBD278B" wp14:editId="62A2C1E1">
            <wp:extent cx="4428000" cy="2410779"/>
            <wp:effectExtent l="0" t="0" r="0" b="8890"/>
            <wp:docPr id="12572925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787" t="10046" r="2251" b="2201"/>
                    <a:stretch/>
                  </pic:blipFill>
                  <pic:spPr bwMode="auto">
                    <a:xfrm>
                      <a:off x="0" y="0"/>
                      <a:ext cx="4438014" cy="2416231"/>
                    </a:xfrm>
                    <a:prstGeom prst="rect">
                      <a:avLst/>
                    </a:prstGeom>
                    <a:noFill/>
                    <a:ln>
                      <a:noFill/>
                    </a:ln>
                    <a:extLst>
                      <a:ext uri="{53640926-AAD7-44D8-BBD7-CCE9431645EC}">
                        <a14:shadowObscured xmlns:a14="http://schemas.microsoft.com/office/drawing/2010/main"/>
                      </a:ext>
                    </a:extLst>
                  </pic:spPr>
                </pic:pic>
              </a:graphicData>
            </a:graphic>
          </wp:inline>
        </w:drawing>
      </w:r>
    </w:p>
    <w:p w14:paraId="0224E4DA" w14:textId="2B6071F4" w:rsidR="00D83CEF" w:rsidRPr="0075297E" w:rsidRDefault="00D83CEF" w:rsidP="00D83CEF">
      <w:pPr>
        <w:pStyle w:val="TF"/>
      </w:pPr>
      <w:bookmarkStart w:id="408" w:name="_Ref195808484"/>
      <w:r w:rsidRPr="00445DD4">
        <w:t xml:space="preserve">Figure </w:t>
      </w:r>
      <w:r w:rsidR="001D085A">
        <w:fldChar w:fldCharType="begin"/>
      </w:r>
      <w:r w:rsidR="001D085A">
        <w:instrText xml:space="preserve"> SEQ Figure \* ARABIC </w:instrText>
      </w:r>
      <w:r w:rsidR="001D085A">
        <w:fldChar w:fldCharType="separate"/>
      </w:r>
      <w:r w:rsidR="001D085A">
        <w:rPr>
          <w:noProof/>
        </w:rPr>
        <w:t>34</w:t>
      </w:r>
      <w:r w:rsidR="001D085A">
        <w:rPr>
          <w:noProof/>
        </w:rPr>
        <w:fldChar w:fldCharType="end"/>
      </w:r>
      <w:bookmarkEnd w:id="408"/>
      <w:r w:rsidRPr="00445DD4">
        <w:tab/>
      </w:r>
      <w:r>
        <w:t>Detail of equilibrium channel load of adaptive congestion control for the parameter values given in Table 3 of [</w:t>
      </w:r>
      <w:r w:rsidRPr="00436A20">
        <w:t>ETSI</w:t>
      </w:r>
      <w:r>
        <w:t> </w:t>
      </w:r>
      <w:r w:rsidRPr="00436A20">
        <w:t>TS</w:t>
      </w:r>
      <w:r>
        <w:t> </w:t>
      </w:r>
      <w:r w:rsidRPr="00436A20">
        <w:t>102</w:t>
      </w:r>
      <w:r>
        <w:t> </w:t>
      </w:r>
      <w:r w:rsidRPr="00436A20">
        <w:t>687</w:t>
      </w:r>
      <w:r>
        <w:t> </w:t>
      </w:r>
      <w:r w:rsidRPr="00436A20">
        <w:t>V1.2.1</w:t>
      </w:r>
      <w:r>
        <w:t>] showing the effect of the gain saturation</w:t>
      </w:r>
    </w:p>
    <w:p w14:paraId="5C6C2C9A" w14:textId="77777777" w:rsidR="00D83CEF" w:rsidRDefault="00D83CEF" w:rsidP="00D83CEF">
      <w:r>
        <w:t>The filtering as proposed in [</w:t>
      </w:r>
      <w:r w:rsidRPr="00436A20">
        <w:t>ETSI</w:t>
      </w:r>
      <w:r>
        <w:t> </w:t>
      </w:r>
      <w:r w:rsidRPr="00436A20">
        <w:t>TS</w:t>
      </w:r>
      <w:r>
        <w:t> </w:t>
      </w:r>
      <w:r w:rsidRPr="00436A20">
        <w:t>102</w:t>
      </w:r>
      <w:r>
        <w:t> </w:t>
      </w:r>
      <w:r w:rsidRPr="00436A20">
        <w:t>687</w:t>
      </w:r>
      <w:r>
        <w:t> </w:t>
      </w:r>
      <w:r w:rsidRPr="00436A20">
        <w:t>V1.2.1</w:t>
      </w:r>
      <w:r>
        <w:t xml:space="preserve">] increases the stability range for </w:t>
      </w:r>
      <m:oMath>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×N</m:t>
        </m:r>
      </m:oMath>
      <w:r>
        <w:t xml:space="preserve"> by a factor of two. Hence, the control loop can converge to an equilibrium for twice as many nodes or for doubled message sizes. Details about this need to be investigated.</w:t>
      </w:r>
    </w:p>
    <w:p w14:paraId="3CF7ECA2" w14:textId="77777777" w:rsidR="00D83CEF" w:rsidRDefault="00D83CEF" w:rsidP="00D83CEF">
      <w:pPr>
        <w:pStyle w:val="Heading4"/>
      </w:pPr>
      <w:bookmarkStart w:id="409" w:name="CLS_convergence_speed"/>
      <w:bookmarkStart w:id="410" w:name="_Toc196916033"/>
      <w:bookmarkStart w:id="411" w:name="_Toc197337089"/>
      <w:r>
        <w:t>C.2.2.2</w:t>
      </w:r>
      <w:bookmarkEnd w:id="409"/>
      <w:r>
        <w:tab/>
        <w:t>Convergence speed of the discrete time adaptive congestion control</w:t>
      </w:r>
      <w:bookmarkEnd w:id="410"/>
      <w:bookmarkEnd w:id="411"/>
    </w:p>
    <w:p w14:paraId="0E3DE7C9" w14:textId="77777777" w:rsidR="00D83CEF" w:rsidRDefault="00D83CEF" w:rsidP="00D83CEF">
      <w:r>
        <w:t xml:space="preserve">In </w:t>
      </w:r>
      <w:r>
        <w:fldChar w:fldCharType="begin"/>
      </w:r>
      <w:r w:rsidRPr="00C53B80">
        <w:instrText xml:space="preserve"> REF REF_CLAUDIACAMPOLO \h </w:instrText>
      </w:r>
      <w:r>
        <w:fldChar w:fldCharType="separate"/>
      </w:r>
      <w:r>
        <w:t>[i.10]</w:t>
      </w:r>
      <w:r>
        <w:fldChar w:fldCharType="end"/>
      </w:r>
      <w:r>
        <w:t xml:space="preserve"> a series expansion approach was used to find the channel load values after each time step of the discrete time adaptive congestion control. From there, with</w:t>
      </w:r>
      <w:r w:rsidRPr="006F0F51">
        <w:t xml:space="preserve"> </w:t>
      </w:r>
      <m:oMath>
        <m:r>
          <w:rPr>
            <w:rFonts w:ascii="Cambria Math" w:hAnsi="Cambria Math"/>
          </w:rPr>
          <m:t>A=N×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oMath>
      <w:r>
        <w:t xml:space="preserve"> and </w:t>
      </w:r>
      <m:oMath>
        <m:r>
          <w:rPr>
            <w:rFonts w:ascii="Cambria Math" w:hAnsi="Cambria Math"/>
          </w:rPr>
          <m:t xml:space="preserve">B= </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oMath>
      <w:r>
        <w:t xml:space="preserve"> the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t xml:space="preserve"> after </w:t>
      </w:r>
      <w:r w:rsidRPr="005758A8">
        <w:rPr>
          <w:i/>
        </w:rPr>
        <w:t>n</w:t>
      </w:r>
      <w:r>
        <w:t xml:space="preserve"> time steps of the duration </w:t>
      </w:r>
      <w:r w:rsidRPr="005758A8">
        <w:rPr>
          <w:i/>
        </w:rPr>
        <w:sym w:font="Symbol" w:char="F074"/>
      </w:r>
      <w:r>
        <w:t xml:space="preserve"> can be calculated according to equation </w:t>
      </w:r>
      <w:r>
        <w:fldChar w:fldCharType="begin"/>
      </w:r>
      <w:r>
        <w:instrText xml:space="preserve"> REF EQ_CLa_series_expansion \h </w:instrText>
      </w:r>
      <w:r>
        <w:fldChar w:fldCharType="separate"/>
      </w:r>
      <w:r>
        <w:rPr>
          <w:noProof/>
        </w:rPr>
        <w:t>76</w:t>
      </w:r>
      <w:r>
        <w:fldChar w:fldCharType="end"/>
      </w:r>
      <w:r>
        <w:t xml:space="preserve"> for the discrete time adaptive congestion control under the assumption that all nodes are synchronised. The more realistic case for unsynchronised nodes is discussed </w:t>
      </w:r>
      <w:r w:rsidRPr="009F045D">
        <w:t xml:space="preserve">in </w:t>
      </w:r>
      <w:r w:rsidRPr="009F045D">
        <w:fldChar w:fldCharType="begin"/>
      </w:r>
      <w:r w:rsidRPr="009F045D">
        <w:instrText xml:space="preserve"> REF CLS_Channel_Load_Measurement \h </w:instrText>
      </w:r>
      <w:r>
        <w:instrText xml:space="preserve"> \* MERGEFORMAT </w:instrText>
      </w:r>
      <w:r w:rsidRPr="009F045D">
        <w:fldChar w:fldCharType="separate"/>
      </w:r>
      <w:r w:rsidRPr="009F045D">
        <w:t>Annex D</w:t>
      </w:r>
      <w:r w:rsidRPr="009F045D">
        <w:fldChar w:fldCharType="end"/>
      </w:r>
      <w:r w:rsidRPr="009F045D">
        <w:t>.</w:t>
      </w:r>
    </w:p>
    <w:p w14:paraId="77F1B0D4" w14:textId="77777777" w:rsidR="00D83CEF" w:rsidRPr="00445DD4" w:rsidRDefault="00D83CEF" w:rsidP="00D83CEF">
      <w:pPr>
        <w:pStyle w:val="EQ"/>
      </w:pPr>
      <w:r>
        <w:tab/>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noProof w:val="0"/>
              </w:rPr>
              <m:t>n×τ</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1-B</m:t>
                    </m:r>
                  </m:e>
                </m:d>
              </m:e>
              <m:sup>
                <m:r>
                  <w:rPr>
                    <w:rFonts w:ascii="Cambria Math" w:hAnsi="Cambria Math"/>
                  </w:rPr>
                  <m:t>n</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×B-A</m:t>
                </m:r>
              </m:e>
            </m:d>
            <m:r>
              <w:rPr>
                <w:rFonts w:ascii="Cambria Math" w:hAnsi="Cambria Math"/>
              </w:rPr>
              <m:t>+A</m:t>
            </m:r>
          </m:num>
          <m:den>
            <m:r>
              <w:rPr>
                <w:rFonts w:ascii="Cambria Math" w:hAnsi="Cambria Math"/>
              </w:rPr>
              <m:t>B</m:t>
            </m:r>
          </m:den>
        </m:f>
      </m:oMath>
      <w:r w:rsidRPr="002E5F31">
        <w:tab/>
        <w:t>(</w:t>
      </w:r>
      <w:bookmarkStart w:id="412" w:name="EQ_CLa_series_expansion"/>
      <w:r w:rsidRPr="002E5F31">
        <w:fldChar w:fldCharType="begin"/>
      </w:r>
      <w:r w:rsidRPr="002E5F31">
        <w:instrText xml:space="preserve"> SEQ Eq \* MERGEFORMAT </w:instrText>
      </w:r>
      <w:r w:rsidRPr="002E5F31">
        <w:fldChar w:fldCharType="separate"/>
      </w:r>
      <w:r>
        <w:t>76</w:t>
      </w:r>
      <w:r w:rsidRPr="002E5F31">
        <w:fldChar w:fldCharType="end"/>
      </w:r>
      <w:bookmarkEnd w:id="412"/>
      <w:r w:rsidRPr="002E5F31">
        <w:t>)</w:t>
      </w:r>
    </w:p>
    <w:p w14:paraId="0E19B8AB" w14:textId="0533FB23" w:rsidR="00D83CEF" w:rsidRDefault="00D83CEF" w:rsidP="00D83CEF">
      <w:r>
        <w:t>From equation </w:t>
      </w:r>
      <w:r>
        <w:fldChar w:fldCharType="begin"/>
      </w:r>
      <w:r>
        <w:instrText xml:space="preserve"> REF EQ_CLa_series_expansion \h </w:instrText>
      </w:r>
      <w:r>
        <w:fldChar w:fldCharType="separate"/>
      </w:r>
      <w:r>
        <w:rPr>
          <w:noProof/>
        </w:rPr>
        <w:t>76</w:t>
      </w:r>
      <w:r>
        <w:fldChar w:fldCharType="end"/>
      </w:r>
      <w:r>
        <w:t xml:space="preserve"> the convergence speed of the discrete time adaptive congestion control can be calculated. Where the convergence speed is defined by the time where the channel load crosses the boundaries of </w:t>
      </w:r>
      <w:r>
        <w:sym w:font="Symbol" w:char="F0B1"/>
      </w:r>
      <w:r>
        <w:t xml:space="preserve">5% deviation from the equilibrium value and afterwards stays within these boundaries when applying a channel load step from zero to 100% or from 100% to zero. Since the convergence times depend on the initial conditions at the time </w:t>
      </w:r>
      <w:r w:rsidRPr="005F082E">
        <w:rPr>
          <w:i/>
        </w:rPr>
        <w:t>t</w:t>
      </w:r>
      <w:r>
        <w:t xml:space="preserve"> = 0 s (see </w:t>
      </w:r>
      <w:r>
        <w:fldChar w:fldCharType="begin"/>
      </w:r>
      <w:r>
        <w:instrText xml:space="preserve"> REF _Ref195811366 \h </w:instrText>
      </w:r>
      <w:r>
        <w:fldChar w:fldCharType="separate"/>
      </w:r>
      <w:r w:rsidR="00A83239" w:rsidRPr="00445DD4">
        <w:t xml:space="preserve">Figure </w:t>
      </w:r>
      <w:r w:rsidR="00A83239">
        <w:rPr>
          <w:noProof/>
        </w:rPr>
        <w:t>33</w:t>
      </w:r>
      <w:r>
        <w:fldChar w:fldCharType="end"/>
      </w:r>
      <w:r>
        <w:t xml:space="preserve">) these conditions of the network nodes need to be defined. An initial transmission rate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=0</m:t>
        </m:r>
      </m:oMath>
      <w:r>
        <w:t xml:space="preserve"> and a resulting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=0</m:t>
        </m:r>
      </m:oMath>
      <w:r>
        <w:t xml:space="preserve"> can be used to test an implementation of the control algorithm, while the example with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=1</m:t>
        </m:r>
      </m:oMath>
      <w:r>
        <w:t xml:space="preserve"> is more to demonstrate what happens when the channel is fully loaded and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en>
        </m:f>
      </m:oMath>
      <w:r>
        <w:t xml:space="preserve">, what is a bit of an arbitrary assumption just to show the difference to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=0</m:t>
        </m:r>
      </m:oMath>
      <w:r>
        <w:t>.</w:t>
      </w:r>
    </w:p>
    <w:p w14:paraId="0BCE3125" w14:textId="32E5EF3C" w:rsidR="00D83CEF" w:rsidRDefault="00D83CEF" w:rsidP="00D83CEF">
      <w:r>
        <w:t xml:space="preserve">For </w:t>
      </w:r>
      <m:oMath>
        <m:r>
          <w:rPr>
            <w:rFonts w:ascii="Cambria Math" w:hAnsi="Cambria Math"/>
          </w:rPr>
          <m:t>1-B&gt;0</m:t>
        </m:r>
      </m:oMath>
      <w:r>
        <w:t xml:space="preserve"> the power function </w:t>
      </w:r>
      <m:oMath>
        <m:sSup>
          <m:sSupPr>
            <m:ctrlPr>
              <w:rPr>
                <w:rFonts w:ascii="Cambria Math" w:hAnsi="Cambria Math"/>
                <w:i/>
                <w:noProof/>
              </w:rPr>
            </m:ctrlPr>
          </m:sSupPr>
          <m:e>
            <m:d>
              <m:dPr>
                <m:ctrlPr>
                  <w:rPr>
                    <w:rFonts w:ascii="Cambria Math" w:hAnsi="Cambria Math"/>
                    <w:i/>
                    <w:noProof/>
                  </w:rPr>
                </m:ctrlPr>
              </m:dPr>
              <m:e>
                <m:r>
                  <w:rPr>
                    <w:rFonts w:ascii="Cambria Math" w:hAnsi="Cambria Math"/>
                  </w:rPr>
                  <m:t>1-B</m:t>
                </m:r>
              </m:e>
            </m:d>
          </m:e>
          <m:sup>
            <m:r>
              <w:rPr>
                <w:rFonts w:ascii="Cambria Math" w:hAnsi="Cambria Math"/>
              </w:rPr>
              <m:t>n</m:t>
            </m:r>
          </m:sup>
        </m:sSup>
      </m:oMath>
      <w:r>
        <w:t xml:space="preserve"> is monotonically increasing (see examples in </w:t>
      </w:r>
      <w:r>
        <w:fldChar w:fldCharType="begin"/>
      </w:r>
      <w:r>
        <w:instrText xml:space="preserve"> REF _Ref196831066 \h </w:instrText>
      </w:r>
      <w:r>
        <w:fldChar w:fldCharType="separate"/>
      </w:r>
      <w:r w:rsidR="00A83239" w:rsidRPr="00445DD4">
        <w:t xml:space="preserve">Figure </w:t>
      </w:r>
      <w:r w:rsidR="00A83239">
        <w:rPr>
          <w:noProof/>
        </w:rPr>
        <w:t>35</w:t>
      </w:r>
      <w:r>
        <w:fldChar w:fldCharType="end"/>
      </w:r>
      <w:r>
        <w:t xml:space="preserve">), for </w:t>
      </w:r>
      <m:oMath>
        <m:r>
          <w:rPr>
            <w:rFonts w:ascii="Cambria Math" w:hAnsi="Cambria Math"/>
          </w:rPr>
          <m:t>1-B&lt;0</m:t>
        </m:r>
      </m:oMath>
      <w:r>
        <w:t xml:space="preserve"> it oscillates between positive results for even time steps values </w:t>
      </w:r>
      <w:r w:rsidRPr="00D13BB9">
        <w:rPr>
          <w:i/>
        </w:rPr>
        <w:t>n</w:t>
      </w:r>
      <w:r>
        <w:t xml:space="preserve"> and negative results for odd values of </w:t>
      </w:r>
      <w:r w:rsidRPr="00D13BB9">
        <w:rPr>
          <w:i/>
        </w:rPr>
        <w:t>n</w:t>
      </w:r>
      <w:r>
        <w:t xml:space="preserve">. Since the factor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×B-A</m:t>
        </m:r>
      </m:oMath>
      <w:r>
        <w:t xml:space="preserve"> is negative for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=0</m:t>
        </m:r>
      </m:oMath>
      <w:r>
        <w:t xml:space="preserve"> this leads to an overshoot of the equilibrium </w:t>
      </w:r>
      <m:oMath>
        <m:f>
          <m:fPr>
            <m:ctrlPr>
              <w:rPr>
                <w:rFonts w:ascii="Cambria Math" w:hAnsi="Cambria Math"/>
                <w:i/>
              </w:rPr>
            </m:ctrlPr>
          </m:fPr>
          <m:num>
            <m:r>
              <w:rPr>
                <w:rFonts w:ascii="Cambria Math" w:hAnsi="Cambria Math"/>
              </w:rPr>
              <m:t>A</m:t>
            </m:r>
          </m:num>
          <m:den>
            <m:r>
              <w:rPr>
                <w:rFonts w:ascii="Cambria Math" w:hAnsi="Cambria Math"/>
              </w:rPr>
              <m:t>B</m:t>
            </m:r>
          </m:den>
        </m:f>
      </m:oMath>
      <w:r>
        <w:t xml:space="preserve"> (</w:t>
      </w:r>
      <w:r w:rsidRPr="00C53B80">
        <w:t>equation </w:t>
      </w:r>
      <w:r>
        <w:fldChar w:fldCharType="begin"/>
      </w:r>
      <w:r w:rsidRPr="00C53B80">
        <w:instrText xml:space="preserve"> REF EQ_CBR_LIMERIC \h </w:instrText>
      </w:r>
      <w:r>
        <w:fldChar w:fldCharType="separate"/>
      </w:r>
      <w:r>
        <w:rPr>
          <w:noProof/>
        </w:rPr>
        <w:t>50</w:t>
      </w:r>
      <w:r>
        <w:fldChar w:fldCharType="end"/>
      </w:r>
      <w:r>
        <w:t>)</w:t>
      </w:r>
      <w:r>
        <w:rPr>
          <w:i/>
        </w:rPr>
        <w:t xml:space="preserve"> </w:t>
      </w:r>
      <w:r>
        <w:t xml:space="preserve">as can be seen as an example in </w:t>
      </w:r>
      <w:r>
        <w:fldChar w:fldCharType="begin"/>
      </w:r>
      <w:r>
        <w:instrText xml:space="preserve"> REF _Ref196837704 \h </w:instrText>
      </w:r>
      <w:r>
        <w:fldChar w:fldCharType="separate"/>
      </w:r>
      <w:r w:rsidR="00A83239" w:rsidRPr="00445DD4">
        <w:t xml:space="preserve">Figure </w:t>
      </w:r>
      <w:r w:rsidR="00A83239">
        <w:rPr>
          <w:noProof/>
        </w:rPr>
        <w:t>36</w:t>
      </w:r>
      <w:r>
        <w:fldChar w:fldCharType="end"/>
      </w:r>
      <w:r>
        <w:t>.</w:t>
      </w:r>
    </w:p>
    <w:p w14:paraId="004014B0" w14:textId="77777777" w:rsidR="00D83CEF" w:rsidRDefault="00D83CEF" w:rsidP="00D83CEF">
      <w:pPr>
        <w:pStyle w:val="FL"/>
      </w:pPr>
      <w:r w:rsidRPr="00292260">
        <w:rPr>
          <w:noProof/>
        </w:rPr>
        <w:drawing>
          <wp:inline distT="0" distB="0" distL="0" distR="0" wp14:anchorId="18F4D265" wp14:editId="033837A0">
            <wp:extent cx="4899600" cy="3020400"/>
            <wp:effectExtent l="0" t="0" r="0" b="0"/>
            <wp:docPr id="88185331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99600" cy="3020400"/>
                    </a:xfrm>
                    <a:prstGeom prst="rect">
                      <a:avLst/>
                    </a:prstGeom>
                    <a:noFill/>
                    <a:ln>
                      <a:noFill/>
                    </a:ln>
                  </pic:spPr>
                </pic:pic>
              </a:graphicData>
            </a:graphic>
          </wp:inline>
        </w:drawing>
      </w:r>
    </w:p>
    <w:p w14:paraId="356658EA" w14:textId="2658E2B4" w:rsidR="00D83CEF" w:rsidRPr="0075297E" w:rsidRDefault="00D83CEF" w:rsidP="00D83CEF">
      <w:pPr>
        <w:pStyle w:val="TF"/>
      </w:pPr>
      <w:bookmarkStart w:id="413" w:name="_Ref196831066"/>
      <w:r w:rsidRPr="00445DD4">
        <w:t xml:space="preserve">Figure </w:t>
      </w:r>
      <w:r w:rsidR="001D085A">
        <w:fldChar w:fldCharType="begin"/>
      </w:r>
      <w:r w:rsidR="001D085A">
        <w:instrText xml:space="preserve"> SEQ Figure \* ARABIC </w:instrText>
      </w:r>
      <w:r w:rsidR="001D085A">
        <w:fldChar w:fldCharType="separate"/>
      </w:r>
      <w:r w:rsidR="001D085A">
        <w:rPr>
          <w:noProof/>
        </w:rPr>
        <w:t>35</w:t>
      </w:r>
      <w:r w:rsidR="001D085A">
        <w:rPr>
          <w:noProof/>
        </w:rPr>
        <w:fldChar w:fldCharType="end"/>
      </w:r>
      <w:bookmarkEnd w:id="413"/>
      <w:r w:rsidRPr="00445DD4">
        <w:tab/>
      </w:r>
      <w:r w:rsidRPr="00292260">
        <w:t xml:space="preserve">Channel load of adaptive congestion control </w:t>
      </w:r>
      <w:r>
        <w:t xml:space="preserve">for different values of </w:t>
      </w:r>
      <w:r w:rsidRPr="00292260">
        <w:rPr>
          <w:i/>
        </w:rPr>
        <w:t>N</w:t>
      </w:r>
      <w:r>
        <w:t> x </w:t>
      </w:r>
      <w:r w:rsidRPr="00292260">
        <w:rPr>
          <w:i/>
        </w:rPr>
        <w:t>T</w:t>
      </w:r>
      <w:r w:rsidRPr="00292260">
        <w:rPr>
          <w:vertAlign w:val="subscript"/>
        </w:rPr>
        <w:t>on</w:t>
      </w:r>
      <w:r>
        <w:t xml:space="preserve"> </w:t>
      </w:r>
      <w:r w:rsidRPr="00292260">
        <w:t>resulting from equation </w:t>
      </w:r>
      <w:r w:rsidRPr="00292260">
        <w:fldChar w:fldCharType="begin"/>
      </w:r>
      <w:r w:rsidRPr="00292260">
        <w:instrText xml:space="preserve"> REF EQ_CLa_series_expansion \h </w:instrText>
      </w:r>
      <w:r>
        <w:instrText xml:space="preserve"> \* MERGEFORMAT </w:instrText>
      </w:r>
      <w:r w:rsidRPr="00292260">
        <w:fldChar w:fldCharType="separate"/>
      </w:r>
      <w:r w:rsidRPr="00292260">
        <w:rPr>
          <w:noProof/>
        </w:rPr>
        <w:t>76</w:t>
      </w:r>
      <w:r w:rsidRPr="00292260">
        <w:fldChar w:fldCharType="end"/>
      </w:r>
      <w:r w:rsidRPr="00292260">
        <w:t xml:space="preserve"> for the parameter values given in Table 3 of [ETSI TS 102 687 V1.2.1]</w:t>
      </w:r>
    </w:p>
    <w:p w14:paraId="326DCC99" w14:textId="77777777" w:rsidR="00D83CEF" w:rsidRDefault="00D83CEF" w:rsidP="00D83CEF">
      <w:pPr>
        <w:pStyle w:val="FL"/>
      </w:pPr>
      <w:r w:rsidRPr="0061280D">
        <w:rPr>
          <w:noProof/>
        </w:rPr>
        <w:drawing>
          <wp:inline distT="0" distB="0" distL="0" distR="0" wp14:anchorId="1EBA9AD1" wp14:editId="77D2056A">
            <wp:extent cx="4899600" cy="3020400"/>
            <wp:effectExtent l="0" t="0" r="0" b="0"/>
            <wp:docPr id="14839197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99600" cy="3020400"/>
                    </a:xfrm>
                    <a:prstGeom prst="rect">
                      <a:avLst/>
                    </a:prstGeom>
                    <a:noFill/>
                    <a:ln>
                      <a:noFill/>
                    </a:ln>
                  </pic:spPr>
                </pic:pic>
              </a:graphicData>
            </a:graphic>
          </wp:inline>
        </w:drawing>
      </w:r>
    </w:p>
    <w:p w14:paraId="394EC54D" w14:textId="77F66327" w:rsidR="00D83CEF" w:rsidRPr="0075297E" w:rsidRDefault="00D83CEF" w:rsidP="00D83CEF">
      <w:pPr>
        <w:pStyle w:val="TF"/>
      </w:pPr>
      <w:bookmarkStart w:id="414" w:name="_Ref196837704"/>
      <w:r w:rsidRPr="00445DD4">
        <w:t xml:space="preserve">Figure </w:t>
      </w:r>
      <w:r w:rsidR="001D085A">
        <w:fldChar w:fldCharType="begin"/>
      </w:r>
      <w:r w:rsidR="001D085A">
        <w:instrText xml:space="preserve"> SEQ Figure \* ARABIC </w:instrText>
      </w:r>
      <w:r w:rsidR="001D085A">
        <w:fldChar w:fldCharType="separate"/>
      </w:r>
      <w:r w:rsidR="001D085A">
        <w:rPr>
          <w:noProof/>
        </w:rPr>
        <w:t>36</w:t>
      </w:r>
      <w:r w:rsidR="001D085A">
        <w:rPr>
          <w:noProof/>
        </w:rPr>
        <w:fldChar w:fldCharType="end"/>
      </w:r>
      <w:bookmarkEnd w:id="414"/>
      <w:r w:rsidRPr="00445DD4">
        <w:tab/>
      </w:r>
      <w:r w:rsidRPr="00292260">
        <w:t xml:space="preserve">Channel load of adaptive congestion control </w:t>
      </w:r>
      <w:r>
        <w:t xml:space="preserve">for </w:t>
      </w:r>
      <w:r w:rsidRPr="00292260">
        <w:rPr>
          <w:i/>
        </w:rPr>
        <w:t>N</w:t>
      </w:r>
      <w:r>
        <w:t> x </w:t>
      </w:r>
      <w:r w:rsidRPr="00292260">
        <w:rPr>
          <w:i/>
        </w:rPr>
        <w:t>T</w:t>
      </w:r>
      <w:r w:rsidRPr="00292260">
        <w:rPr>
          <w:vertAlign w:val="subscript"/>
        </w:rPr>
        <w:t>on</w:t>
      </w:r>
      <w:r>
        <w:t xml:space="preserve"> = 1200 ms </w:t>
      </w:r>
      <w:r w:rsidRPr="00292260">
        <w:t>resulting from equation </w:t>
      </w:r>
      <w:r w:rsidRPr="00292260">
        <w:fldChar w:fldCharType="begin"/>
      </w:r>
      <w:r w:rsidRPr="00292260">
        <w:instrText xml:space="preserve"> REF EQ_CLa_series_expansion \h </w:instrText>
      </w:r>
      <w:r>
        <w:instrText xml:space="preserve"> \* MERGEFORMAT </w:instrText>
      </w:r>
      <w:r w:rsidRPr="00292260">
        <w:fldChar w:fldCharType="separate"/>
      </w:r>
      <w:r w:rsidRPr="00292260">
        <w:rPr>
          <w:noProof/>
        </w:rPr>
        <w:t>76</w:t>
      </w:r>
      <w:r w:rsidRPr="00292260">
        <w:fldChar w:fldCharType="end"/>
      </w:r>
      <w:r w:rsidRPr="00292260">
        <w:t xml:space="preserve"> for the parameter values given in Table 3 of [ETSI TS 102 687 V1.2.1]</w:t>
      </w:r>
    </w:p>
    <w:p w14:paraId="1DF3EBE6" w14:textId="4B11314F" w:rsidR="00D83CEF" w:rsidRDefault="00D83CEF" w:rsidP="00D83CEF">
      <w:r>
        <w:t xml:space="preserve">Thus, for </w:t>
      </w:r>
      <m:oMath>
        <m:r>
          <w:rPr>
            <w:rFonts w:ascii="Cambria Math" w:hAnsi="Cambria Math"/>
          </w:rPr>
          <m:t>B&lt;1</m:t>
        </m:r>
      </m:oMath>
      <w:r>
        <w:t xml:space="preserve"> the convergence time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×τ</m:t>
        </m:r>
      </m:oMath>
      <w:r>
        <w:t xml:space="preserve"> results </w:t>
      </w:r>
      <w:r w:rsidR="00A83239">
        <w:t>from</w:t>
      </w:r>
      <w:r>
        <w:t xml:space="preserve"> equation </w:t>
      </w:r>
      <w:r>
        <w:fldChar w:fldCharType="begin"/>
      </w:r>
      <w:r>
        <w:instrText xml:space="preserve"> REF EQ_CLa_series_expansion \h </w:instrText>
      </w:r>
      <w:r>
        <w:fldChar w:fldCharType="separate"/>
      </w:r>
      <w:r>
        <w:rPr>
          <w:noProof/>
        </w:rPr>
        <w:t>76</w:t>
      </w:r>
      <w:r>
        <w:fldChar w:fldCharType="end"/>
      </w:r>
      <w:r>
        <w:t xml:space="preserve"> when setting </w:t>
      </w:r>
      <m:oMath>
        <m:sSub>
          <m:sSubPr>
            <m:ctrlPr>
              <w:rPr>
                <w:rFonts w:ascii="Cambria Math" w:hAnsi="Cambria Math"/>
                <w:i/>
              </w:rPr>
            </m:ctrlPr>
          </m:sSubPr>
          <m:e>
            <m:r>
              <w:rPr>
                <w:rFonts w:ascii="Cambria Math" w:hAnsi="Cambria Math"/>
              </w:rPr>
              <m:t>CL</m:t>
            </m:r>
          </m:e>
          <m:sub>
            <m:r>
              <w:rPr>
                <w:rFonts w:ascii="Cambria Math" w:hAnsi="Cambria Math"/>
              </w:rPr>
              <m:t>a</m:t>
            </m:r>
          </m:sub>
        </m:sSub>
      </m:oMath>
      <w:r>
        <w:t xml:space="preserve"> to 95% or 105% of the equilibrium </w:t>
      </w:r>
      <m:oMath>
        <m:f>
          <m:fPr>
            <m:ctrlPr>
              <w:rPr>
                <w:rFonts w:ascii="Cambria Math" w:hAnsi="Cambria Math"/>
                <w:i/>
              </w:rPr>
            </m:ctrlPr>
          </m:fPr>
          <m:num>
            <m:r>
              <w:rPr>
                <w:rFonts w:ascii="Cambria Math" w:hAnsi="Cambria Math"/>
              </w:rPr>
              <m:t>A</m:t>
            </m:r>
          </m:num>
          <m:den>
            <m:r>
              <w:rPr>
                <w:rFonts w:ascii="Cambria Math" w:hAnsi="Cambria Math"/>
              </w:rPr>
              <m:t>B</m:t>
            </m:r>
          </m:den>
        </m:f>
      </m:oMath>
      <w:r>
        <w:t xml:space="preserve"> (</w:t>
      </w:r>
      <w:r w:rsidRPr="00C53B80">
        <w:t>equation </w:t>
      </w:r>
      <w:r>
        <w:fldChar w:fldCharType="begin"/>
      </w:r>
      <w:r w:rsidRPr="00C53B80">
        <w:instrText xml:space="preserve"> REF EQ_CBR_LIMERIC \h </w:instrText>
      </w:r>
      <w:r>
        <w:fldChar w:fldCharType="separate"/>
      </w:r>
      <w:r>
        <w:rPr>
          <w:noProof/>
        </w:rPr>
        <w:t>50</w:t>
      </w:r>
      <w:r>
        <w:fldChar w:fldCharType="end"/>
      </w:r>
      <w:r>
        <w:t xml:space="preserve">). Which value to take depends on the initial channel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oMath>
      <w:r>
        <w:t xml:space="preserve"> as shown in equation </w:t>
      </w:r>
      <w:r>
        <w:fldChar w:fldCharType="begin"/>
      </w:r>
      <w:r>
        <w:instrText xml:space="preserve"> REF EQ_ncm_Ansatz \h </w:instrText>
      </w:r>
      <w:r>
        <w:fldChar w:fldCharType="separate"/>
      </w:r>
      <w:r>
        <w:rPr>
          <w:noProof/>
        </w:rPr>
        <w:t>77</w:t>
      </w:r>
      <w:r>
        <w:fldChar w:fldCharType="end"/>
      </w:r>
      <w:r>
        <w:t xml:space="preserve"> and equation </w:t>
      </w:r>
      <w:r>
        <w:fldChar w:fldCharType="begin"/>
      </w:r>
      <w:r>
        <w:instrText xml:space="preserve"> REF EQ_ncp_Ansatz \h </w:instrText>
      </w:r>
      <w:r>
        <w:fldChar w:fldCharType="separate"/>
      </w:r>
      <w:r>
        <w:rPr>
          <w:noProof/>
        </w:rPr>
        <w:t>78</w:t>
      </w:r>
      <w:r>
        <w:fldChar w:fldCharType="end"/>
      </w:r>
      <w:r>
        <w:t>.</w:t>
      </w:r>
    </w:p>
    <w:p w14:paraId="31AD90A0" w14:textId="77777777" w:rsidR="00D83CEF" w:rsidRPr="00445DD4" w:rsidRDefault="00D83CEF" w:rsidP="00D83CEF">
      <w:pPr>
        <w:pStyle w:val="EQ"/>
      </w:pPr>
      <w:r>
        <w:tab/>
        <w:t xml:space="preserve">For </w:t>
      </w:r>
      <m:oMath>
        <m:sSub>
          <m:sSubPr>
            <m:ctrlPr>
              <w:rPr>
                <w:rFonts w:ascii="Cambria Math" w:hAnsi="Cambria Math"/>
                <w:i/>
              </w:rPr>
            </m:ctrlPr>
          </m:sSubPr>
          <m:e>
            <m:r>
              <w:rPr>
                <w:rFonts w:ascii="Cambria Math" w:hAnsi="Cambria Math"/>
              </w:rPr>
              <m:t xml:space="preserve">B&lt;1 </m:t>
            </m:r>
            <m:r>
              <m:rPr>
                <m:nor/>
              </m:rPr>
              <w:rPr>
                <w:rFonts w:ascii="Cambria Math" w:hAnsi="Cambria Math"/>
              </w:rPr>
              <m:t>and</m:t>
            </m:r>
            <m:r>
              <w:rPr>
                <w:rFonts w:ascii="Cambria Math" w:hAnsi="Cambria Math"/>
              </w:rPr>
              <m:t xml:space="preserve"> 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 xml:space="preserve">=0 </m:t>
        </m:r>
        <m:r>
          <m:rPr>
            <m:nor/>
          </m:rPr>
          <w:rPr>
            <w:rFonts w:ascii="Cambria Math" w:hAnsi="Cambria Math"/>
          </w:rPr>
          <m:t>follows</m:t>
        </m:r>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B</m:t>
            </m:r>
          </m:den>
        </m:f>
        <m:r>
          <w:rPr>
            <w:rFonts w:ascii="Cambria Math" w:hAnsi="Cambria Math"/>
          </w:rPr>
          <m:t>×0,95=</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1-B</m:t>
                    </m:r>
                  </m:e>
                </m:d>
              </m:e>
              <m:sup>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sup>
            </m:sSup>
            <m:r>
              <w:rPr>
                <w:rFonts w:ascii="Cambria Math" w:hAnsi="Cambria Math"/>
              </w:rPr>
              <m:t>×</m:t>
            </m:r>
            <m:d>
              <m:dPr>
                <m:ctrlPr>
                  <w:rPr>
                    <w:rFonts w:ascii="Cambria Math" w:hAnsi="Cambria Math"/>
                    <w:i/>
                  </w:rPr>
                </m:ctrlPr>
              </m:dPr>
              <m:e>
                <m:r>
                  <w:rPr>
                    <w:rFonts w:ascii="Cambria Math" w:hAnsi="Cambria Math"/>
                  </w:rPr>
                  <m:t>-A</m:t>
                </m:r>
              </m:e>
            </m:d>
            <m:r>
              <w:rPr>
                <w:rFonts w:ascii="Cambria Math" w:hAnsi="Cambria Math"/>
              </w:rPr>
              <m:t>+A</m:t>
            </m:r>
          </m:num>
          <m:den>
            <m:r>
              <w:rPr>
                <w:rFonts w:ascii="Cambria Math" w:hAnsi="Cambria Math"/>
              </w:rPr>
              <m:t>B</m:t>
            </m:r>
          </m:den>
        </m:f>
      </m:oMath>
      <w:r w:rsidRPr="002E5F31">
        <w:tab/>
        <w:t>(</w:t>
      </w:r>
      <w:bookmarkStart w:id="415" w:name="EQ_ncm_Ansatz"/>
      <w:r w:rsidRPr="002E5F31">
        <w:fldChar w:fldCharType="begin"/>
      </w:r>
      <w:r w:rsidRPr="002E5F31">
        <w:instrText xml:space="preserve"> SEQ Eq \* MERGEFORMAT </w:instrText>
      </w:r>
      <w:r w:rsidRPr="002E5F31">
        <w:fldChar w:fldCharType="separate"/>
      </w:r>
      <w:r>
        <w:t>77</w:t>
      </w:r>
      <w:r w:rsidRPr="002E5F31">
        <w:fldChar w:fldCharType="end"/>
      </w:r>
      <w:bookmarkEnd w:id="415"/>
      <w:r w:rsidRPr="002E5F31">
        <w:t>)</w:t>
      </w:r>
    </w:p>
    <w:p w14:paraId="6A921B32" w14:textId="77777777" w:rsidR="00D83CEF" w:rsidRPr="00445DD4" w:rsidRDefault="00D83CEF" w:rsidP="00D83CEF">
      <w:pPr>
        <w:pStyle w:val="EQ"/>
      </w:pPr>
      <w:r>
        <w:tab/>
        <w:t xml:space="preserve">For </w:t>
      </w:r>
      <m:oMath>
        <m:sSub>
          <m:sSubPr>
            <m:ctrlPr>
              <w:rPr>
                <w:rFonts w:ascii="Cambria Math" w:hAnsi="Cambria Math"/>
                <w:i/>
              </w:rPr>
            </m:ctrlPr>
          </m:sSubPr>
          <m:e>
            <m:r>
              <w:rPr>
                <w:rFonts w:ascii="Cambria Math" w:hAnsi="Cambria Math"/>
              </w:rPr>
              <m:t xml:space="preserve">B&lt;1 </m:t>
            </m:r>
            <m:r>
              <m:rPr>
                <m:nor/>
              </m:rPr>
              <w:rPr>
                <w:rFonts w:ascii="Cambria Math" w:hAnsi="Cambria Math"/>
              </w:rPr>
              <m:t>and</m:t>
            </m:r>
            <m:r>
              <w:rPr>
                <w:rFonts w:ascii="Cambria Math" w:hAnsi="Cambria Math"/>
              </w:rPr>
              <m:t xml:space="preserve"> 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 xml:space="preserve">=1 </m:t>
        </m:r>
        <m:r>
          <m:rPr>
            <m:nor/>
          </m:rPr>
          <w:rPr>
            <w:rFonts w:ascii="Cambria Math" w:hAnsi="Cambria Math"/>
          </w:rPr>
          <m:t>follows</m:t>
        </m:r>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B</m:t>
            </m:r>
          </m:den>
        </m:f>
        <m:r>
          <w:rPr>
            <w:rFonts w:ascii="Cambria Math" w:hAnsi="Cambria Math"/>
          </w:rPr>
          <m:t>×1,05=</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1-B</m:t>
                    </m:r>
                  </m:e>
                </m:d>
              </m:e>
              <m:sup>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sup>
            </m:sSup>
            <m:r>
              <w:rPr>
                <w:rFonts w:ascii="Cambria Math" w:hAnsi="Cambria Math"/>
              </w:rPr>
              <m:t>×</m:t>
            </m:r>
            <m:d>
              <m:dPr>
                <m:ctrlPr>
                  <w:rPr>
                    <w:rFonts w:ascii="Cambria Math" w:hAnsi="Cambria Math"/>
                    <w:i/>
                  </w:rPr>
                </m:ctrlPr>
              </m:dPr>
              <m:e>
                <m:r>
                  <w:rPr>
                    <w:rFonts w:ascii="Cambria Math" w:hAnsi="Cambria Math"/>
                  </w:rPr>
                  <m:t>B-A</m:t>
                </m:r>
              </m:e>
            </m:d>
            <m:r>
              <w:rPr>
                <w:rFonts w:ascii="Cambria Math" w:hAnsi="Cambria Math"/>
              </w:rPr>
              <m:t>+A</m:t>
            </m:r>
          </m:num>
          <m:den>
            <m:r>
              <w:rPr>
                <w:rFonts w:ascii="Cambria Math" w:hAnsi="Cambria Math"/>
              </w:rPr>
              <m:t>B</m:t>
            </m:r>
          </m:den>
        </m:f>
      </m:oMath>
      <w:r w:rsidRPr="002E5F31">
        <w:tab/>
        <w:t>(</w:t>
      </w:r>
      <w:bookmarkStart w:id="416" w:name="EQ_ncp_Ansatz"/>
      <w:r w:rsidRPr="002E5F31">
        <w:fldChar w:fldCharType="begin"/>
      </w:r>
      <w:r w:rsidRPr="002E5F31">
        <w:instrText xml:space="preserve"> SEQ Eq \* MERGEFORMAT </w:instrText>
      </w:r>
      <w:r w:rsidRPr="002E5F31">
        <w:fldChar w:fldCharType="separate"/>
      </w:r>
      <w:r>
        <w:t>78</w:t>
      </w:r>
      <w:r w:rsidRPr="002E5F31">
        <w:fldChar w:fldCharType="end"/>
      </w:r>
      <w:bookmarkEnd w:id="416"/>
      <w:r w:rsidRPr="002E5F31">
        <w:t>)</w:t>
      </w:r>
    </w:p>
    <w:p w14:paraId="022A3B8A" w14:textId="3955FCC0" w:rsidR="00D83CEF" w:rsidRDefault="00D83CEF" w:rsidP="00D83CEF">
      <w:r w:rsidRPr="0078135A">
        <w:t xml:space="preserve">The time steps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t xml:space="preserve"> to reach 95% of the channel load equilibrium </w:t>
      </w:r>
      <w:r w:rsidRPr="0078135A">
        <w:t>for an initial channel load of zero result from</w:t>
      </w:r>
      <w:r>
        <w:t xml:space="preserve"> equation </w:t>
      </w:r>
      <w:r>
        <w:fldChar w:fldCharType="begin"/>
      </w:r>
      <w:r>
        <w:instrText xml:space="preserve"> REF EQ_ncm \h </w:instrText>
      </w:r>
      <w:r>
        <w:fldChar w:fldCharType="separate"/>
      </w:r>
      <w:r>
        <w:rPr>
          <w:noProof/>
        </w:rPr>
        <w:t>79</w:t>
      </w:r>
      <w:r>
        <w:fldChar w:fldCharType="end"/>
      </w:r>
      <w:r>
        <w:t xml:space="preserve">. For an initial message rate </w:t>
      </w:r>
      <m:oMath>
        <m:sSub>
          <m:sSubPr>
            <m:ctrlPr>
              <w:rPr>
                <w:rFonts w:ascii="Cambria Math" w:hAnsi="Cambria Math"/>
                <w:i/>
              </w:rPr>
            </m:ctrlPr>
          </m:sSubPr>
          <m:e>
            <m:r>
              <w:rPr>
                <w:rFonts w:ascii="Cambria Math" w:hAnsi="Cambria Math"/>
              </w:rPr>
              <m:t>r</m:t>
            </m:r>
          </m:e>
          <m:sub>
            <m:r>
              <w:rPr>
                <w:rFonts w:ascii="Cambria Math" w:hAnsi="Cambria Math"/>
              </w:rPr>
              <m:t>j</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den>
        </m:f>
      </m:oMath>
      <w:r>
        <w:t xml:space="preserve"> the </w:t>
      </w:r>
      <w:r w:rsidRPr="0078135A">
        <w:t xml:space="preserve">time steps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t xml:space="preserve"> to reach 105% of the channel load equilibrium result from equation </w:t>
      </w:r>
      <w:r>
        <w:fldChar w:fldCharType="begin"/>
      </w:r>
      <w:r>
        <w:instrText xml:space="preserve"> REF EQ_ncp \h </w:instrText>
      </w:r>
      <w:r>
        <w:fldChar w:fldCharType="separate"/>
      </w:r>
      <w:r>
        <w:rPr>
          <w:noProof/>
        </w:rPr>
        <w:t>80</w:t>
      </w:r>
      <w:r>
        <w:fldChar w:fldCharType="end"/>
      </w:r>
      <w:r>
        <w:t xml:space="preserve">. </w:t>
      </w:r>
      <w:r>
        <w:fldChar w:fldCharType="begin"/>
      </w:r>
      <w:r>
        <w:instrText xml:space="preserve"> REF _Ref196823154 \h </w:instrText>
      </w:r>
      <w:r>
        <w:fldChar w:fldCharType="separate"/>
      </w:r>
      <w:r w:rsidR="00A83239" w:rsidRPr="00445DD4">
        <w:t xml:space="preserve">Figure </w:t>
      </w:r>
      <w:r w:rsidR="00A83239">
        <w:rPr>
          <w:noProof/>
        </w:rPr>
        <w:t>37</w:t>
      </w:r>
      <w:r>
        <w:fldChar w:fldCharType="end"/>
      </w:r>
      <w:r>
        <w:t xml:space="preserve"> compares the results for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oMath>
      <w:r>
        <w:t xml:space="preserve"> from equation </w:t>
      </w:r>
      <w:r>
        <w:fldChar w:fldCharType="begin"/>
      </w:r>
      <w:r>
        <w:instrText xml:space="preserve"> REF EQ_ncm \h </w:instrText>
      </w:r>
      <w:r>
        <w:fldChar w:fldCharType="separate"/>
      </w:r>
      <w:r>
        <w:rPr>
          <w:noProof/>
        </w:rPr>
        <w:t>79</w:t>
      </w:r>
      <w:r>
        <w:fldChar w:fldCharType="end"/>
      </w:r>
      <w:r>
        <w:t xml:space="preserve"> and equation </w:t>
      </w:r>
      <w:r>
        <w:fldChar w:fldCharType="begin"/>
      </w:r>
      <w:r>
        <w:instrText xml:space="preserve"> REF EQ_ncp \h </w:instrText>
      </w:r>
      <w:r>
        <w:fldChar w:fldCharType="separate"/>
      </w:r>
      <w:r>
        <w:rPr>
          <w:noProof/>
        </w:rPr>
        <w:t>80</w:t>
      </w:r>
      <w:r>
        <w:fldChar w:fldCharType="end"/>
      </w:r>
      <w:r>
        <w:t xml:space="preserve"> for the initial cannel load </w:t>
      </w:r>
      <m:oMath>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oMath>
      <w:r>
        <w:t xml:space="preserve"> equal to zero or respectively equal to one.</w:t>
      </w:r>
    </w:p>
    <w:p w14:paraId="293ABF9A" w14:textId="77777777" w:rsidR="00D83CEF" w:rsidRDefault="00D83CEF" w:rsidP="00D83CEF">
      <w:pPr>
        <w:pStyle w:val="EQ"/>
      </w:pPr>
      <w:r>
        <w:tab/>
      </w:r>
      <w:r w:rsidRPr="000C37B2">
        <w:t xml:space="preserve">For </w:t>
      </w:r>
      <m:oMath>
        <m:sSub>
          <m:sSubPr>
            <m:ctrlPr>
              <w:rPr>
                <w:rFonts w:ascii="Cambria Math" w:hAnsi="Cambria Math"/>
                <w:i/>
              </w:rPr>
            </m:ctrlPr>
          </m:sSubPr>
          <m:e>
            <m:r>
              <w:rPr>
                <w:rFonts w:ascii="Cambria Math" w:hAnsi="Cambria Math"/>
              </w:rPr>
              <m:t xml:space="preserve">B&lt;1 </m:t>
            </m:r>
            <m:r>
              <m:rPr>
                <m:nor/>
              </m:rPr>
              <w:rPr>
                <w:rFonts w:ascii="Cambria Math" w:hAnsi="Cambria Math"/>
              </w:rPr>
              <m:t>and</m:t>
            </m:r>
            <m:r>
              <w:rPr>
                <w:rFonts w:ascii="Cambria Math" w:hAnsi="Cambria Math"/>
              </w:rPr>
              <m:t xml:space="preserve"> 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 xml:space="preserve">=0 </m:t>
        </m:r>
        <m:r>
          <m:rPr>
            <m:nor/>
          </m:rPr>
          <w:rPr>
            <w:rFonts w:ascii="Cambria Math" w:hAnsi="Cambria Math"/>
          </w:rPr>
          <m:t>follows</m:t>
        </m:r>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i/>
                  </w:rPr>
                </m:ctrlPr>
              </m:dPr>
              <m:e>
                <m:r>
                  <w:rPr>
                    <w:rFonts w:ascii="Cambria Math" w:hAnsi="Cambria Math"/>
                  </w:rPr>
                  <m:t>0,05</m:t>
                </m:r>
              </m:e>
            </m:d>
          </m:num>
          <m:den>
            <m:r>
              <w:rPr>
                <w:rFonts w:ascii="Cambria Math" w:hAnsi="Cambria Math"/>
              </w:rPr>
              <m:t>ln</m:t>
            </m:r>
            <m:d>
              <m:dPr>
                <m:ctrlPr>
                  <w:rPr>
                    <w:rFonts w:ascii="Cambria Math" w:hAnsi="Cambria Math"/>
                    <w:i/>
                  </w:rPr>
                </m:ctrlPr>
              </m:dPr>
              <m:e>
                <m:r>
                  <w:rPr>
                    <w:rFonts w:ascii="Cambria Math" w:hAnsi="Cambria Math"/>
                  </w:rPr>
                  <m:t>1-</m:t>
                </m:r>
                <m:r>
                  <m:rPr>
                    <m:sty m:val="p"/>
                  </m:rPr>
                  <w:rPr>
                    <w:rFonts w:ascii="Cambria Math" w:hAnsi="Cambria Math"/>
                  </w:rPr>
                  <m:t>B</m:t>
                </m:r>
              </m:e>
            </m:d>
          </m:den>
        </m:f>
        <m:r>
          <w:rPr>
            <w:rFonts w:ascii="Cambria Math" w:hAnsi="Cambria Math"/>
          </w:rPr>
          <m:t>=</m:t>
        </m:r>
        <m:f>
          <m:fPr>
            <m:ctrlPr>
              <w:rPr>
                <w:rFonts w:ascii="Cambria Math" w:hAnsi="Cambria Math"/>
              </w:rPr>
            </m:ctrlPr>
          </m:fPr>
          <m:num>
            <m:r>
              <w:rPr>
                <w:rFonts w:ascii="Cambria Math" w:hAnsi="Cambria Math"/>
              </w:rPr>
              <m:t>ln</m:t>
            </m:r>
            <m:d>
              <m:dPr>
                <m:ctrlPr>
                  <w:rPr>
                    <w:rFonts w:ascii="Cambria Math" w:hAnsi="Cambria Math"/>
                    <w:i/>
                  </w:rPr>
                </m:ctrlPr>
              </m:dPr>
              <m:e>
                <m:r>
                  <w:rPr>
                    <w:rFonts w:ascii="Cambria Math" w:hAnsi="Cambria Math"/>
                  </w:rPr>
                  <m:t>0,05</m:t>
                </m:r>
              </m:e>
            </m:d>
          </m:num>
          <m:den>
            <m:r>
              <w:rPr>
                <w:rFonts w:ascii="Cambria Math" w:hAnsi="Cambria Math"/>
              </w:rPr>
              <m:t>ln</m:t>
            </m:r>
            <m:d>
              <m:dPr>
                <m:ctrlPr>
                  <w:rPr>
                    <w:rFonts w:ascii="Cambria Math" w:hAnsi="Cambria Math"/>
                    <w:i/>
                  </w:rPr>
                </m:ctrlPr>
              </m:dPr>
              <m:e>
                <m:r>
                  <w:rPr>
                    <w:rFonts w:ascii="Cambria Math" w:hAnsi="Cambria Math"/>
                  </w:rPr>
                  <m:t>1-</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den>
        </m:f>
      </m:oMath>
      <w:r w:rsidRPr="000C37B2">
        <w:tab/>
        <w:t>(</w:t>
      </w:r>
      <w:bookmarkStart w:id="417" w:name="EQ_ncm"/>
      <w:r>
        <w:fldChar w:fldCharType="begin"/>
      </w:r>
      <w:r>
        <w:instrText xml:space="preserve"> SEQ Eq \* MERGEFORMAT </w:instrText>
      </w:r>
      <w:r>
        <w:fldChar w:fldCharType="separate"/>
      </w:r>
      <w:r>
        <w:t>79</w:t>
      </w:r>
      <w:r>
        <w:fldChar w:fldCharType="end"/>
      </w:r>
      <w:bookmarkEnd w:id="417"/>
      <w:r w:rsidRPr="000C37B2">
        <w:t>)</w:t>
      </w:r>
    </w:p>
    <w:p w14:paraId="4DD53FB4" w14:textId="77777777" w:rsidR="00D83CEF" w:rsidRPr="00445DD4" w:rsidRDefault="00D83CEF" w:rsidP="00D83CEF">
      <w:pPr>
        <w:pStyle w:val="EQ"/>
      </w:pPr>
      <w:r w:rsidRPr="000C37B2">
        <w:tab/>
        <w:t xml:space="preserve">For </w:t>
      </w:r>
      <m:oMath>
        <m:sSub>
          <m:sSubPr>
            <m:ctrlPr>
              <w:rPr>
                <w:rFonts w:ascii="Cambria Math" w:hAnsi="Cambria Math"/>
                <w:i/>
              </w:rPr>
            </m:ctrlPr>
          </m:sSubPr>
          <m:e>
            <m:r>
              <w:rPr>
                <w:rFonts w:ascii="Cambria Math" w:hAnsi="Cambria Math"/>
              </w:rPr>
              <m:t xml:space="preserve">B&lt;1 </m:t>
            </m:r>
            <m:r>
              <m:rPr>
                <m:nor/>
              </m:rPr>
              <w:rPr>
                <w:rFonts w:ascii="Cambria Math" w:hAnsi="Cambria Math"/>
              </w:rPr>
              <m:t>and</m:t>
            </m:r>
            <m:r>
              <w:rPr>
                <w:rFonts w:ascii="Cambria Math" w:hAnsi="Cambria Math"/>
              </w:rPr>
              <m:t xml:space="preserve"> 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 xml:space="preserve">=1 </m:t>
        </m:r>
        <m:r>
          <m:rPr>
            <m:nor/>
          </m:rPr>
          <w:rPr>
            <w:rFonts w:ascii="Cambria Math" w:hAnsi="Cambria Math"/>
          </w:rPr>
          <m:t>follows</m:t>
        </m:r>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c</m:t>
            </m:r>
          </m:sub>
          <m:sup>
            <m:r>
              <w:rPr>
                <w:rFonts w:ascii="Cambria Math" w:hAnsi="Cambria Math"/>
              </w:rPr>
              <m:t>+</m:t>
            </m:r>
          </m:sup>
        </m:sSubSup>
        <m:r>
          <w:rPr>
            <w:rFonts w:ascii="Cambria Math" w:hAnsi="Cambria Math"/>
          </w:rPr>
          <m:t>=</m:t>
        </m:r>
        <m:f>
          <m:fPr>
            <m:ctrlPr>
              <w:rPr>
                <w:rFonts w:ascii="Cambria Math" w:hAnsi="Cambria Math"/>
                <w:i/>
              </w:rPr>
            </m:ctrlPr>
          </m:fPr>
          <m:num>
            <m:r>
              <w:rPr>
                <w:rFonts w:ascii="Cambria Math" w:hAnsi="Cambria Math"/>
              </w:rPr>
              <m:t xml:space="preserve"> ln</m:t>
            </m:r>
            <m:d>
              <m:dPr>
                <m:ctrlPr>
                  <w:rPr>
                    <w:rFonts w:ascii="Cambria Math" w:hAnsi="Cambria Math"/>
                    <w:i/>
                  </w:rPr>
                </m:ctrlPr>
              </m:dPr>
              <m:e>
                <m:f>
                  <m:fPr>
                    <m:ctrlPr>
                      <w:rPr>
                        <w:rFonts w:ascii="Cambria Math" w:hAnsi="Cambria Math"/>
                        <w:i/>
                      </w:rPr>
                    </m:ctrlPr>
                  </m:fPr>
                  <m:num>
                    <m:r>
                      <w:rPr>
                        <w:rFonts w:ascii="Cambria Math" w:hAnsi="Cambria Math"/>
                      </w:rPr>
                      <m:t>A×0,05</m:t>
                    </m:r>
                  </m:num>
                  <m:den>
                    <m:r>
                      <w:rPr>
                        <w:rFonts w:ascii="Cambria Math" w:hAnsi="Cambria Math"/>
                      </w:rPr>
                      <m:t>B-A</m:t>
                    </m:r>
                  </m:den>
                </m:f>
              </m:e>
            </m:d>
          </m:num>
          <m:den>
            <m:r>
              <w:rPr>
                <w:rFonts w:ascii="Cambria Math" w:hAnsi="Cambria Math"/>
              </w:rPr>
              <m:t>ln</m:t>
            </m:r>
            <m:d>
              <m:dPr>
                <m:ctrlPr>
                  <w:rPr>
                    <w:rFonts w:ascii="Cambria Math" w:hAnsi="Cambria Math"/>
                    <w:i/>
                  </w:rPr>
                </m:ctrlPr>
              </m:dPr>
              <m:e>
                <m:r>
                  <w:rPr>
                    <w:rFonts w:ascii="Cambria Math" w:hAnsi="Cambria Math"/>
                  </w:rPr>
                  <m:t>1-</m:t>
                </m:r>
                <m:r>
                  <m:rPr>
                    <m:sty m:val="p"/>
                  </m:rPr>
                  <w:rPr>
                    <w:rFonts w:ascii="Cambria Math" w:hAnsi="Cambria Math"/>
                  </w:rPr>
                  <m:t>B</m:t>
                </m:r>
              </m:e>
            </m:d>
          </m:den>
        </m:f>
        <m:r>
          <w:rPr>
            <w:rFonts w:ascii="Cambria Math" w:hAnsi="Cambria Math"/>
          </w:rPr>
          <m:t>=</m:t>
        </m:r>
        <m:f>
          <m:fPr>
            <m:ctrlPr>
              <w:rPr>
                <w:rFonts w:ascii="Cambria Math" w:hAnsi="Cambria Math"/>
                <w:i/>
              </w:rPr>
            </m:ctrlPr>
          </m:fPr>
          <m:num>
            <m:r>
              <w:rPr>
                <w:rFonts w:ascii="Cambria Math" w:hAnsi="Cambria Math"/>
              </w:rPr>
              <m:t xml:space="preserve"> ln</m:t>
            </m:r>
            <m:d>
              <m:dPr>
                <m:ctrlPr>
                  <w:rPr>
                    <w:rFonts w:ascii="Cambria Math" w:hAnsi="Cambria Math"/>
                    <w:i/>
                  </w:rPr>
                </m:ctrlPr>
              </m:dPr>
              <m:e>
                <m:f>
                  <m:fPr>
                    <m:ctrlPr>
                      <w:rPr>
                        <w:rFonts w:ascii="Cambria Math" w:hAnsi="Cambria Math"/>
                        <w:i/>
                      </w:rPr>
                    </m:ctrlPr>
                  </m:fPr>
                  <m:num>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r>
                      <m:rPr>
                        <m:sty m:val="p"/>
                      </m:rPr>
                      <w:rPr>
                        <w:rFonts w:ascii="Cambria Math" w:hAnsi="Cambria Math"/>
                      </w:rPr>
                      <m:t>×</m:t>
                    </m:r>
                    <m:sSub>
                      <m:sSubPr>
                        <m:ctrlPr>
                          <w:rPr>
                            <w:rFonts w:ascii="Cambria Math" w:hAnsi="Cambria Math"/>
                          </w:rPr>
                        </m:ctrlPr>
                      </m:sSubPr>
                      <m:e>
                        <m:r>
                          <w:rPr>
                            <w:rFonts w:ascii="Cambria Math" w:hAnsi="Cambria Math"/>
                          </w:rPr>
                          <m:t>CBR</m:t>
                        </m:r>
                      </m:e>
                      <m:sub>
                        <m:r>
                          <w:rPr>
                            <w:rFonts w:ascii="Cambria Math" w:hAnsi="Cambria Math"/>
                          </w:rPr>
                          <m:t>target</m:t>
                        </m:r>
                      </m:sub>
                    </m:sSub>
                    <m:r>
                      <w:rPr>
                        <w:rFonts w:ascii="Cambria Math" w:hAnsi="Cambria Math"/>
                      </w:rPr>
                      <m:t>×0,05</m:t>
                    </m:r>
                  </m:num>
                  <m:den>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d>
                      <m:dPr>
                        <m:ctrlPr>
                          <w:rPr>
                            <w:rFonts w:ascii="Cambria Math" w:hAnsi="Cambria Math"/>
                            <w:i/>
                          </w:rPr>
                        </m:ctrlPr>
                      </m:dPr>
                      <m:e>
                        <m:r>
                          <w:rPr>
                            <w:rFonts w:ascii="Cambria Math" w:hAnsi="Cambria Math"/>
                          </w:rPr>
                          <m:t>1-</m:t>
                        </m:r>
                        <m:sSub>
                          <m:sSubPr>
                            <m:ctrlPr>
                              <w:rPr>
                                <w:rFonts w:ascii="Cambria Math" w:hAnsi="Cambria Math"/>
                              </w:rPr>
                            </m:ctrlPr>
                          </m:sSubPr>
                          <m:e>
                            <m:r>
                              <w:rPr>
                                <w:rFonts w:ascii="Cambria Math" w:hAnsi="Cambria Math"/>
                              </w:rPr>
                              <m:t>CBR</m:t>
                            </m:r>
                          </m:e>
                          <m:sub>
                            <m:r>
                              <w:rPr>
                                <w:rFonts w:ascii="Cambria Math" w:hAnsi="Cambria Math"/>
                              </w:rPr>
                              <m:t>target</m:t>
                            </m:r>
                          </m:sub>
                        </m:sSub>
                      </m:e>
                    </m:d>
                  </m:den>
                </m:f>
              </m:e>
            </m:d>
          </m:num>
          <m:den>
            <m:r>
              <w:rPr>
                <w:rFonts w:ascii="Cambria Math" w:hAnsi="Cambria Math"/>
              </w:rPr>
              <m:t>ln</m:t>
            </m:r>
            <m:d>
              <m:dPr>
                <m:ctrlPr>
                  <w:rPr>
                    <w:rFonts w:ascii="Cambria Math" w:hAnsi="Cambria Math"/>
                    <w:i/>
                  </w:rPr>
                </m:ctrlPr>
              </m:dPr>
              <m:e>
                <m:r>
                  <w:rPr>
                    <w:rFonts w:ascii="Cambria Math" w:hAnsi="Cambria Math"/>
                  </w:rPr>
                  <m:t>1-</m:t>
                </m:r>
                <m:r>
                  <m:rPr>
                    <m:sty m:val="p"/>
                  </m:rPr>
                  <w:rPr>
                    <w:rFonts w:ascii="Cambria Math" w:hAnsi="Cambria Math"/>
                  </w:rPr>
                  <m:t>∝-</m:t>
                </m:r>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r>
                  <w:rPr>
                    <w:rFonts w:ascii="Cambria Math" w:hAnsi="Cambria Math"/>
                  </w:rPr>
                  <m:t>×β</m:t>
                </m:r>
              </m:e>
            </m:d>
          </m:den>
        </m:f>
      </m:oMath>
      <w:r w:rsidRPr="000C37B2">
        <w:tab/>
        <w:t>(</w:t>
      </w:r>
      <w:bookmarkStart w:id="418" w:name="EQ_ncp"/>
      <w:r>
        <w:fldChar w:fldCharType="begin"/>
      </w:r>
      <w:r>
        <w:instrText xml:space="preserve"> SEQ Eq \* MERGEFORMAT </w:instrText>
      </w:r>
      <w:r>
        <w:fldChar w:fldCharType="separate"/>
      </w:r>
      <w:r>
        <w:t>80</w:t>
      </w:r>
      <w:r>
        <w:fldChar w:fldCharType="end"/>
      </w:r>
      <w:bookmarkEnd w:id="418"/>
      <w:r w:rsidRPr="000C37B2">
        <w:t>)</w:t>
      </w:r>
    </w:p>
    <w:p w14:paraId="08F9B52F" w14:textId="77777777" w:rsidR="00D83CEF" w:rsidRDefault="00D83CEF" w:rsidP="00D83CEF">
      <w:pPr>
        <w:pStyle w:val="FL"/>
      </w:pPr>
      <w:r w:rsidRPr="002A501A">
        <w:rPr>
          <w:b w:val="0"/>
        </w:rPr>
        <w:t xml:space="preserve"> </w:t>
      </w:r>
      <w:r w:rsidRPr="002A501A">
        <w:rPr>
          <w:noProof/>
        </w:rPr>
        <w:drawing>
          <wp:inline distT="0" distB="0" distL="0" distR="0" wp14:anchorId="4F269AE9" wp14:editId="1711A999">
            <wp:extent cx="4356000" cy="4065270"/>
            <wp:effectExtent l="0" t="0" r="6985" b="0"/>
            <wp:docPr id="22208409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7">
                      <a:extLst>
                        <a:ext uri="{28A0092B-C50C-407E-A947-70E740481C1C}">
                          <a14:useLocalDpi xmlns:a14="http://schemas.microsoft.com/office/drawing/2010/main" val="0"/>
                        </a:ext>
                      </a:extLst>
                    </a:blip>
                    <a:srcRect l="3143" t="8670" r="1671" b="606"/>
                    <a:stretch/>
                  </pic:blipFill>
                  <pic:spPr bwMode="auto">
                    <a:xfrm>
                      <a:off x="0" y="0"/>
                      <a:ext cx="4361512" cy="4070414"/>
                    </a:xfrm>
                    <a:prstGeom prst="rect">
                      <a:avLst/>
                    </a:prstGeom>
                    <a:noFill/>
                    <a:ln>
                      <a:noFill/>
                    </a:ln>
                    <a:extLst>
                      <a:ext uri="{53640926-AAD7-44D8-BBD7-CCE9431645EC}">
                        <a14:shadowObscured xmlns:a14="http://schemas.microsoft.com/office/drawing/2010/main"/>
                      </a:ext>
                    </a:extLst>
                  </pic:spPr>
                </pic:pic>
              </a:graphicData>
            </a:graphic>
          </wp:inline>
        </w:drawing>
      </w:r>
    </w:p>
    <w:p w14:paraId="6EA888EA" w14:textId="3D699A7D" w:rsidR="00D83CEF" w:rsidRPr="0075297E" w:rsidRDefault="00D83CEF" w:rsidP="00D83CEF">
      <w:pPr>
        <w:pStyle w:val="TF"/>
      </w:pPr>
      <w:bookmarkStart w:id="419" w:name="_Ref196823154"/>
      <w:r w:rsidRPr="00445DD4">
        <w:t xml:space="preserve">Figure </w:t>
      </w:r>
      <w:r w:rsidR="001D085A">
        <w:fldChar w:fldCharType="begin"/>
      </w:r>
      <w:r w:rsidR="001D085A">
        <w:instrText xml:space="preserve"> SEQ Figure \* ARABIC </w:instrText>
      </w:r>
      <w:r w:rsidR="001D085A">
        <w:fldChar w:fldCharType="separate"/>
      </w:r>
      <w:r w:rsidR="001D085A">
        <w:rPr>
          <w:noProof/>
        </w:rPr>
        <w:t>37</w:t>
      </w:r>
      <w:r w:rsidR="001D085A">
        <w:rPr>
          <w:noProof/>
        </w:rPr>
        <w:fldChar w:fldCharType="end"/>
      </w:r>
      <w:bookmarkEnd w:id="419"/>
      <w:r w:rsidRPr="00445DD4">
        <w:tab/>
      </w:r>
      <w:r w:rsidRPr="002A501A">
        <w:t xml:space="preserve">Number of time steps to reach </w:t>
      </w:r>
      <w:r w:rsidRPr="002A501A">
        <w:sym w:font="Symbol" w:char="F0B1"/>
      </w:r>
      <w:r w:rsidRPr="002A501A">
        <w:t xml:space="preserve">5% deviation from the equilibrium channel load </w:t>
      </w:r>
      <w:r>
        <w:t xml:space="preserve">when starting from different initial channel loads </w:t>
      </w:r>
      <w:r w:rsidRPr="002A501A">
        <w:t>for the adaptive congestion control with parameter values given in Table 3 of [ETSI TS 102 687 V1.2.1]</w:t>
      </w:r>
    </w:p>
    <w:p w14:paraId="529965BA" w14:textId="27D5EF46" w:rsidR="00D83CEF" w:rsidRDefault="00D83CEF" w:rsidP="00D83CEF">
      <w:r>
        <w:t xml:space="preserve">For </w:t>
      </w:r>
      <m:oMath>
        <m:r>
          <w:rPr>
            <w:rFonts w:ascii="Cambria Math" w:hAnsi="Cambria Math"/>
          </w:rPr>
          <m:t>B&gt;1</m:t>
        </m:r>
      </m:oMath>
      <w:r>
        <w:t xml:space="preserve"> the channel load will overshoot the equilibrium as has been shown in </w:t>
      </w:r>
      <w:r>
        <w:fldChar w:fldCharType="begin"/>
      </w:r>
      <w:r>
        <w:instrText xml:space="preserve"> REF _Ref196837704 \h </w:instrText>
      </w:r>
      <w:r>
        <w:fldChar w:fldCharType="separate"/>
      </w:r>
      <w:r w:rsidR="00A83239" w:rsidRPr="00445DD4">
        <w:t xml:space="preserve">Figure </w:t>
      </w:r>
      <w:r w:rsidR="00A83239">
        <w:rPr>
          <w:noProof/>
        </w:rPr>
        <w:t>36</w:t>
      </w:r>
      <w:r>
        <w:fldChar w:fldCharType="end"/>
      </w:r>
      <w:r>
        <w:t xml:space="preserve">. This overshoot can overload the channel, and the convergence time consists of the channel overload recovery time plus the exponential channel load decay time. The linear channel load model will not hold for the channel load saturation at high loads. But it can give at least a rough estimation of the decay time as long as that </w:t>
      </w:r>
      <m:oMath>
        <m:sSub>
          <m:sSubPr>
            <m:ctrlPr>
              <w:rPr>
                <w:rFonts w:ascii="Cambria Math" w:hAnsi="Cambria Math"/>
              </w:rPr>
            </m:ctrlPr>
          </m:sSubPr>
          <m:e>
            <m:r>
              <w:rPr>
                <w:rFonts w:ascii="Cambria Math" w:hAnsi="Cambria Math"/>
              </w:rPr>
              <m:t>CBR</m:t>
            </m:r>
          </m:e>
          <m:sub>
            <m:r>
              <w:rPr>
                <w:rFonts w:ascii="Cambria Math" w:hAnsi="Cambria Math"/>
              </w:rPr>
              <m:t>target</m:t>
            </m:r>
          </m:sub>
        </m:sSub>
      </m:oMath>
      <w:r>
        <w:t xml:space="preserve"> parameter is below a channel load of 0,8. The envelope of the channel load decay is given by equation </w:t>
      </w:r>
      <w:r>
        <w:fldChar w:fldCharType="begin"/>
      </w:r>
      <w:r>
        <w:instrText xml:space="preserve"> REF EQ_CLa_envelope \h </w:instrText>
      </w:r>
      <w:r>
        <w:fldChar w:fldCharType="separate"/>
      </w:r>
      <w:r>
        <w:rPr>
          <w:noProof/>
        </w:rPr>
        <w:t>81</w:t>
      </w:r>
      <w:r>
        <w:fldChar w:fldCharType="end"/>
      </w:r>
      <w:r>
        <w:t>.</w:t>
      </w:r>
    </w:p>
    <w:p w14:paraId="61E07FFD" w14:textId="77777777" w:rsidR="00D83CEF" w:rsidRDefault="00D83CEF" w:rsidP="00D83CEF">
      <w:pPr>
        <w:pStyle w:val="EQ"/>
      </w:pPr>
      <w:r>
        <w:tab/>
      </w:r>
      <w:r w:rsidRPr="000C37B2">
        <w:t xml:space="preserve">For </w:t>
      </w:r>
      <m:oMath>
        <m:r>
          <w:rPr>
            <w:rFonts w:ascii="Cambria Math" w:hAnsi="Cambria Math"/>
          </w:rPr>
          <m:t xml:space="preserve">B&gt;1 </m:t>
        </m:r>
        <m:r>
          <m:rPr>
            <m:nor/>
          </m:rPr>
          <w:rPr>
            <w:rFonts w:ascii="Cambria Math" w:hAnsi="Cambria Math"/>
          </w:rPr>
          <m:t>follows</m:t>
        </m:r>
        <m:r>
          <w:rPr>
            <w:rFonts w:ascii="Cambria Math" w:hAnsi="Cambria Math"/>
          </w:rPr>
          <m:t xml:space="preserve"> </m:t>
        </m:r>
        <m:sSub>
          <m:sSubPr>
            <m:ctrlPr>
              <w:rPr>
                <w:rFonts w:ascii="Cambria Math" w:hAnsi="Cambria Math"/>
                <w:i/>
              </w:rPr>
            </m:ctrlPr>
          </m:sSubPr>
          <m:e>
            <m:r>
              <w:rPr>
                <w:rFonts w:ascii="Cambria Math" w:hAnsi="Cambria Math"/>
              </w:rPr>
              <m:t>CL</m:t>
            </m:r>
          </m:e>
          <m:sub>
            <m:r>
              <w:rPr>
                <w:rFonts w:ascii="Cambria Math" w:hAnsi="Cambria Math"/>
              </w:rPr>
              <m:t>a envelope</m:t>
            </m:r>
          </m:sub>
        </m:sSub>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rPr>
            </m:ctrlPr>
          </m:fPr>
          <m:num>
            <m:r>
              <w:rPr>
                <w:rFonts w:ascii="Cambria Math" w:hAnsi="Cambria Math"/>
              </w:rPr>
              <m:t>A</m:t>
            </m:r>
          </m:num>
          <m:den>
            <m:r>
              <w:rPr>
                <w:rFonts w:ascii="Cambria Math" w:hAnsi="Cambria Math"/>
              </w:rPr>
              <m:t>B</m:t>
            </m:r>
          </m:den>
        </m:f>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m:t>
            </m:r>
            <m:f>
              <m:fPr>
                <m:ctrlPr>
                  <w:rPr>
                    <w:rFonts w:ascii="Cambria Math" w:hAnsi="Cambria Math"/>
                  </w:rPr>
                </m:ctrlPr>
              </m:fPr>
              <m:num>
                <m:r>
                  <w:rPr>
                    <w:rFonts w:ascii="Cambria Math" w:hAnsi="Cambria Math"/>
                  </w:rPr>
                  <m:t>A</m:t>
                </m:r>
              </m:num>
              <m:den>
                <m:r>
                  <w:rPr>
                    <w:rFonts w:ascii="Cambria Math" w:hAnsi="Cambria Math"/>
                  </w:rPr>
                  <m:t>B</m:t>
                </m:r>
              </m:den>
            </m:f>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ln</m:t>
            </m:r>
            <m:d>
              <m:dPr>
                <m:ctrlPr>
                  <w:rPr>
                    <w:rFonts w:ascii="Cambria Math" w:hAnsi="Cambria Math"/>
                    <w:i/>
                  </w:rPr>
                </m:ctrlPr>
              </m:dPr>
              <m:e>
                <m:r>
                  <w:rPr>
                    <w:rFonts w:ascii="Cambria Math" w:hAnsi="Cambria Math"/>
                  </w:rPr>
                  <m:t>B-1</m:t>
                </m:r>
              </m:e>
            </m:d>
            <m:r>
              <w:rPr>
                <w:rFonts w:ascii="Cambria Math" w:hAnsi="Cambria Math"/>
              </w:rPr>
              <m:t>×n</m:t>
            </m:r>
          </m:sup>
        </m:sSup>
      </m:oMath>
      <w:r w:rsidRPr="000C37B2">
        <w:tab/>
        <w:t>(</w:t>
      </w:r>
      <w:bookmarkStart w:id="420" w:name="EQ_CLa_envelope"/>
      <w:r>
        <w:fldChar w:fldCharType="begin"/>
      </w:r>
      <w:r>
        <w:instrText xml:space="preserve"> SEQ Eq \* MERGEFORMAT </w:instrText>
      </w:r>
      <w:r>
        <w:fldChar w:fldCharType="separate"/>
      </w:r>
      <w:r>
        <w:t>81</w:t>
      </w:r>
      <w:r>
        <w:fldChar w:fldCharType="end"/>
      </w:r>
      <w:bookmarkEnd w:id="420"/>
      <w:r w:rsidRPr="000C37B2">
        <w:t>)</w:t>
      </w:r>
    </w:p>
    <w:p w14:paraId="7C9AEA91" w14:textId="77777777" w:rsidR="00D83CEF" w:rsidRDefault="00D83CEF" w:rsidP="00D83CEF">
      <w:pPr>
        <w:rPr>
          <w:sz w:val="22"/>
          <w:szCs w:val="22"/>
          <w:lang w:val="en-US"/>
        </w:rPr>
      </w:pPr>
      <w:r>
        <w:t xml:space="preserve">With a gain saturation </w:t>
      </w:r>
      <m:oMath>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oMath>
      <w:r>
        <w:rPr>
          <w:sz w:val="22"/>
          <w:szCs w:val="22"/>
          <w:lang w:val="en-US"/>
        </w:rPr>
        <w:t xml:space="preserve"> the convergence time can increase, since below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t xml:space="preserve"> </w:t>
      </w:r>
      <w:r>
        <w:rPr>
          <w:sz w:val="22"/>
          <w:szCs w:val="22"/>
          <w:lang w:val="en-US"/>
        </w:rPr>
        <w:t xml:space="preserve">the channel load </w:t>
      </w:r>
      <m:oMath>
        <m:sSub>
          <m:sSubPr>
            <m:ctrlPr>
              <w:rPr>
                <w:rFonts w:ascii="Cambria Math" w:hAnsi="Cambria Math"/>
                <w:i/>
              </w:rPr>
            </m:ctrlPr>
          </m:sSubPr>
          <m:e>
            <m:r>
              <w:rPr>
                <w:rFonts w:ascii="Cambria Math" w:hAnsi="Cambria Math"/>
              </w:rPr>
              <m:t>CL</m:t>
            </m:r>
          </m:e>
          <m:sub>
            <m:r>
              <w:rPr>
                <w:rFonts w:ascii="Cambria Math" w:hAnsi="Cambria Math"/>
              </w:rPr>
              <m:t>as</m:t>
            </m:r>
          </m:sub>
        </m:sSub>
      </m:oMath>
      <w:r>
        <w:t xml:space="preserve"> </w:t>
      </w:r>
      <w:r>
        <w:rPr>
          <w:sz w:val="22"/>
          <w:szCs w:val="22"/>
          <w:lang w:val="en-US"/>
        </w:rPr>
        <w:t>follows equation </w:t>
      </w:r>
      <w:r>
        <w:rPr>
          <w:sz w:val="22"/>
          <w:szCs w:val="22"/>
          <w:lang w:val="en-US"/>
        </w:rPr>
        <w:fldChar w:fldCharType="begin"/>
      </w:r>
      <w:r>
        <w:rPr>
          <w:sz w:val="22"/>
          <w:szCs w:val="22"/>
          <w:lang w:val="en-US"/>
        </w:rPr>
        <w:instrText xml:space="preserve"> REF EQ_CLas_series \h </w:instrText>
      </w:r>
      <w:r>
        <w:rPr>
          <w:sz w:val="22"/>
          <w:szCs w:val="22"/>
          <w:lang w:val="en-US"/>
        </w:rPr>
      </w:r>
      <w:r>
        <w:rPr>
          <w:sz w:val="22"/>
          <w:szCs w:val="22"/>
          <w:lang w:val="en-US"/>
        </w:rPr>
        <w:fldChar w:fldCharType="separate"/>
      </w:r>
      <w:r>
        <w:rPr>
          <w:noProof/>
        </w:rPr>
        <w:t>82</w:t>
      </w:r>
      <w:r>
        <w:rPr>
          <w:sz w:val="22"/>
          <w:szCs w:val="22"/>
          <w:lang w:val="en-US"/>
        </w:rPr>
        <w:fldChar w:fldCharType="end"/>
      </w:r>
      <w:r>
        <w:rPr>
          <w:sz w:val="22"/>
          <w:szCs w:val="22"/>
          <w:lang w:val="en-US"/>
        </w:rPr>
        <w:t xml:space="preserve"> which is less steep in </w:t>
      </w:r>
      <w:r w:rsidRPr="002B576E">
        <w:rPr>
          <w:i/>
          <w:sz w:val="22"/>
          <w:szCs w:val="22"/>
          <w:lang w:val="en-US"/>
        </w:rPr>
        <w:t>n</w:t>
      </w:r>
      <w:r>
        <w:rPr>
          <w:sz w:val="22"/>
          <w:szCs w:val="22"/>
          <w:lang w:val="en-US"/>
        </w:rPr>
        <w:t xml:space="preserve"> compared to </w:t>
      </w:r>
      <w:r>
        <w:t>equation </w:t>
      </w:r>
      <w:r>
        <w:fldChar w:fldCharType="begin"/>
      </w:r>
      <w:r>
        <w:instrText xml:space="preserve"> REF EQ_CLa_series_expansion \h </w:instrText>
      </w:r>
      <w:r>
        <w:fldChar w:fldCharType="separate"/>
      </w:r>
      <w:r>
        <w:rPr>
          <w:noProof/>
        </w:rPr>
        <w:t>76</w:t>
      </w:r>
      <w:r>
        <w:fldChar w:fldCharType="end"/>
      </w:r>
      <w:r>
        <w:rPr>
          <w:sz w:val="22"/>
          <w:szCs w:val="22"/>
          <w:lang w:val="en-US"/>
        </w:rPr>
        <w:t>.</w:t>
      </w:r>
    </w:p>
    <w:p w14:paraId="5E25BED3" w14:textId="77777777" w:rsidR="00D83CEF" w:rsidRDefault="00D83CEF" w:rsidP="00D83CEF">
      <w:pPr>
        <w:pStyle w:val="EQ"/>
      </w:pPr>
      <w:r>
        <w:tab/>
        <w:t xml:space="preserve">For </w:t>
      </w:r>
      <m:oMath>
        <m:sSub>
          <m:sSubPr>
            <m:ctrlPr>
              <w:rPr>
                <w:rFonts w:ascii="Cambria Math" w:hAnsi="Cambria Math"/>
                <w:i/>
              </w:rPr>
            </m:ctrlPr>
          </m:sSubPr>
          <m:e>
            <m:r>
              <w:rPr>
                <w:rFonts w:ascii="Cambria Math" w:hAnsi="Cambria Math"/>
              </w:rPr>
              <m:t>CL</m:t>
            </m:r>
          </m:e>
          <m:sub>
            <m:r>
              <w:rPr>
                <w:rFonts w:ascii="Cambria Math" w:hAnsi="Cambria Math"/>
              </w:rPr>
              <m:t>a</m:t>
            </m:r>
          </m:sub>
        </m:sSub>
        <m:r>
          <w:rPr>
            <w:rFonts w:ascii="Cambria Math" w:hAnsi="Cambria Math"/>
          </w:rPr>
          <m:t>&lt;</m:t>
        </m:r>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t xml:space="preserve"> follows </w:t>
      </w:r>
      <m:oMath>
        <m:sSub>
          <m:sSubPr>
            <m:ctrlPr>
              <w:rPr>
                <w:rFonts w:ascii="Cambria Math" w:hAnsi="Cambria Math"/>
                <w:i/>
              </w:rPr>
            </m:ctrlPr>
          </m:sSubPr>
          <m:e>
            <m:r>
              <w:rPr>
                <w:rFonts w:ascii="Cambria Math" w:hAnsi="Cambria Math"/>
              </w:rPr>
              <m:t>CL</m:t>
            </m:r>
          </m:e>
          <m:sub>
            <m:r>
              <w:rPr>
                <w:rFonts w:ascii="Cambria Math" w:hAnsi="Cambria Math"/>
              </w:rPr>
              <m:t>as</m:t>
            </m:r>
          </m:sub>
        </m:sSub>
        <m:d>
          <m:dPr>
            <m:ctrlPr>
              <w:rPr>
                <w:rFonts w:ascii="Cambria Math" w:hAnsi="Cambria Math"/>
                <w:i/>
              </w:rPr>
            </m:ctrlPr>
          </m:dPr>
          <m:e>
            <m:r>
              <w:rPr>
                <w:rFonts w:ascii="Cambria Math" w:hAnsi="Cambria Math"/>
                <w:noProof w:val="0"/>
              </w:rPr>
              <m:t>n×τ</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1-α</m:t>
                    </m:r>
                  </m:e>
                </m:d>
              </m:e>
              <m:sup>
                <m:r>
                  <w:rPr>
                    <w:rFonts w:ascii="Cambria Math" w:hAnsi="Cambria Math"/>
                  </w:rPr>
                  <m:t>n</m:t>
                </m:r>
              </m:sup>
            </m:sSup>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CL</m:t>
                    </m:r>
                  </m:e>
                  <m:sub>
                    <m:r>
                      <w:rPr>
                        <w:rFonts w:ascii="Cambria Math" w:hAnsi="Cambria Math"/>
                      </w:rPr>
                      <m:t>a</m:t>
                    </m:r>
                  </m:sub>
                </m:sSub>
                <m:d>
                  <m:dPr>
                    <m:ctrlPr>
                      <w:rPr>
                        <w:rFonts w:ascii="Cambria Math" w:hAnsi="Cambria Math"/>
                        <w:i/>
                      </w:rPr>
                    </m:ctrlPr>
                  </m:dPr>
                  <m:e>
                    <m:r>
                      <w:rPr>
                        <w:rFonts w:ascii="Cambria Math" w:hAnsi="Cambria Math"/>
                      </w:rPr>
                      <m:t>0</m:t>
                    </m:r>
                  </m:e>
                </m:d>
                <m:r>
                  <w:rPr>
                    <w:rFonts w:ascii="Cambria Math" w:hAnsi="Cambria Math"/>
                  </w:rPr>
                  <m:t>×α-</m:t>
                </m:r>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e>
            </m:d>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max</m:t>
                </m:r>
              </m:sub>
              <m:sup>
                <m:r>
                  <w:rPr>
                    <w:rFonts w:ascii="Cambria Math" w:hAnsi="Cambria Math"/>
                  </w:rPr>
                  <m:t>+</m:t>
                </m:r>
              </m:sup>
            </m:sSubSup>
            <m:r>
              <w:rPr>
                <w:rFonts w:ascii="Cambria Math" w:hAnsi="Cambria Math"/>
              </w:rPr>
              <m:t>×N×</m:t>
            </m:r>
            <m:sSub>
              <m:sSubPr>
                <m:ctrlPr>
                  <w:rPr>
                    <w:rFonts w:ascii="Cambria Math" w:hAnsi="Cambria Math"/>
                    <w:i/>
                  </w:rPr>
                </m:ctrlPr>
              </m:sSubPr>
              <m:e>
                <m:r>
                  <w:rPr>
                    <w:rFonts w:ascii="Cambria Math" w:hAnsi="Cambria Math"/>
                  </w:rPr>
                  <m:t>T</m:t>
                </m:r>
              </m:e>
              <m:sub>
                <m:r>
                  <w:rPr>
                    <w:rFonts w:ascii="Cambria Math" w:hAnsi="Cambria Math"/>
                  </w:rPr>
                  <m:t>on</m:t>
                </m:r>
              </m:sub>
            </m:sSub>
          </m:num>
          <m:den>
            <m:r>
              <w:rPr>
                <w:rFonts w:ascii="Cambria Math" w:hAnsi="Cambria Math"/>
              </w:rPr>
              <m:t>α</m:t>
            </m:r>
          </m:den>
        </m:f>
      </m:oMath>
      <w:r w:rsidRPr="002E5F31">
        <w:tab/>
        <w:t>(</w:t>
      </w:r>
      <w:bookmarkStart w:id="421" w:name="EQ_CLas_series"/>
      <w:r w:rsidRPr="002E5F31">
        <w:fldChar w:fldCharType="begin"/>
      </w:r>
      <w:r w:rsidRPr="002E5F31">
        <w:instrText xml:space="preserve"> SEQ Eq \* MERGEFORMAT </w:instrText>
      </w:r>
      <w:r w:rsidRPr="002E5F31">
        <w:fldChar w:fldCharType="separate"/>
      </w:r>
      <w:r>
        <w:t>82</w:t>
      </w:r>
      <w:r w:rsidRPr="002E5F31">
        <w:fldChar w:fldCharType="end"/>
      </w:r>
      <w:bookmarkEnd w:id="421"/>
      <w:r w:rsidRPr="002E5F31">
        <w:t>)</w:t>
      </w:r>
    </w:p>
    <w:p w14:paraId="6916921F" w14:textId="77777777" w:rsidR="00D83CEF" w:rsidRDefault="00D83CEF" w:rsidP="00D83CEF">
      <w:r>
        <w:t xml:space="preserve">Depending on whether the channel load equilibrium is below or above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t xml:space="preserve">, the convergence speed can either be determined from </w:t>
      </w:r>
      <w:r>
        <w:rPr>
          <w:sz w:val="22"/>
          <w:szCs w:val="22"/>
          <w:lang w:val="en-US"/>
        </w:rPr>
        <w:t>equation </w:t>
      </w:r>
      <w:r>
        <w:rPr>
          <w:sz w:val="22"/>
          <w:szCs w:val="22"/>
          <w:lang w:val="en-US"/>
        </w:rPr>
        <w:fldChar w:fldCharType="begin"/>
      </w:r>
      <w:r>
        <w:rPr>
          <w:sz w:val="22"/>
          <w:szCs w:val="22"/>
          <w:lang w:val="en-US"/>
        </w:rPr>
        <w:instrText xml:space="preserve"> REF EQ_CLas_series \h </w:instrText>
      </w:r>
      <w:r>
        <w:rPr>
          <w:sz w:val="22"/>
          <w:szCs w:val="22"/>
          <w:lang w:val="en-US"/>
        </w:rPr>
      </w:r>
      <w:r>
        <w:rPr>
          <w:sz w:val="22"/>
          <w:szCs w:val="22"/>
          <w:lang w:val="en-US"/>
        </w:rPr>
        <w:fldChar w:fldCharType="separate"/>
      </w:r>
      <w:r>
        <w:rPr>
          <w:noProof/>
        </w:rPr>
        <w:t>82</w:t>
      </w:r>
      <w:r>
        <w:rPr>
          <w:sz w:val="22"/>
          <w:szCs w:val="22"/>
          <w:lang w:val="en-US"/>
        </w:rPr>
        <w:fldChar w:fldCharType="end"/>
      </w:r>
      <w:r>
        <w:rPr>
          <w:sz w:val="22"/>
          <w:szCs w:val="22"/>
          <w:lang w:val="en-US"/>
        </w:rPr>
        <w:t xml:space="preserve"> or by piecewise use of equation </w:t>
      </w:r>
      <w:r>
        <w:rPr>
          <w:sz w:val="22"/>
          <w:szCs w:val="22"/>
          <w:lang w:val="en-US"/>
        </w:rPr>
        <w:fldChar w:fldCharType="begin"/>
      </w:r>
      <w:r>
        <w:rPr>
          <w:sz w:val="22"/>
          <w:szCs w:val="22"/>
          <w:lang w:val="en-US"/>
        </w:rPr>
        <w:instrText xml:space="preserve"> REF EQ_CLas_series \h </w:instrText>
      </w:r>
      <w:r>
        <w:rPr>
          <w:sz w:val="22"/>
          <w:szCs w:val="22"/>
          <w:lang w:val="en-US"/>
        </w:rPr>
      </w:r>
      <w:r>
        <w:rPr>
          <w:sz w:val="22"/>
          <w:szCs w:val="22"/>
          <w:lang w:val="en-US"/>
        </w:rPr>
        <w:fldChar w:fldCharType="separate"/>
      </w:r>
      <w:r>
        <w:rPr>
          <w:noProof/>
        </w:rPr>
        <w:t>82</w:t>
      </w:r>
      <w:r>
        <w:rPr>
          <w:sz w:val="22"/>
          <w:szCs w:val="22"/>
          <w:lang w:val="en-US"/>
        </w:rPr>
        <w:fldChar w:fldCharType="end"/>
      </w:r>
      <w:r>
        <w:rPr>
          <w:sz w:val="22"/>
          <w:szCs w:val="22"/>
          <w:lang w:val="en-US"/>
        </w:rPr>
        <w:t xml:space="preserve"> up to </w:t>
      </w:r>
      <m:oMath>
        <m:sSubSup>
          <m:sSubSupPr>
            <m:ctrlPr>
              <w:rPr>
                <w:rFonts w:ascii="Cambria Math" w:hAnsi="Cambria Math"/>
                <w:i/>
              </w:rPr>
            </m:ctrlPr>
          </m:sSubSupPr>
          <m:e>
            <m:r>
              <w:rPr>
                <w:rFonts w:ascii="Cambria Math" w:hAnsi="Cambria Math"/>
              </w:rPr>
              <m:t>CL</m:t>
            </m:r>
          </m:e>
          <m:sub>
            <m:r>
              <w:rPr>
                <w:rFonts w:ascii="Cambria Math" w:hAnsi="Cambria Math"/>
              </w:rPr>
              <m:t>a</m:t>
            </m:r>
          </m:sub>
          <m:sup>
            <m:r>
              <w:rPr>
                <w:rFonts w:ascii="Cambria Math" w:hAnsi="Cambria Math"/>
              </w:rPr>
              <m:t>+</m:t>
            </m:r>
          </m:sup>
        </m:sSubSup>
      </m:oMath>
      <w:r>
        <w:t xml:space="preserve"> and from there by use of equation </w:t>
      </w:r>
      <w:r>
        <w:fldChar w:fldCharType="begin"/>
      </w:r>
      <w:r>
        <w:instrText xml:space="preserve"> REF EQ_CLa_series_expansion \h </w:instrText>
      </w:r>
      <w:r>
        <w:fldChar w:fldCharType="separate"/>
      </w:r>
      <w:r>
        <w:rPr>
          <w:noProof/>
        </w:rPr>
        <w:t>76</w:t>
      </w:r>
      <w:r>
        <w:fldChar w:fldCharType="end"/>
      </w:r>
      <w:r>
        <w:t xml:space="preserve"> as shown in the beginning of the present clause.</w:t>
      </w:r>
    </w:p>
    <w:p w14:paraId="21F09790" w14:textId="77777777" w:rsidR="00D83CEF" w:rsidRDefault="00D83CEF" w:rsidP="00D83CEF">
      <w:pPr>
        <w:pStyle w:val="Heading9"/>
      </w:pPr>
      <w:bookmarkStart w:id="422" w:name="CLS_Channel_Load_Measurement"/>
      <w:bookmarkStart w:id="423" w:name="_Toc196916034"/>
      <w:bookmarkStart w:id="424" w:name="_Toc197337090"/>
      <w:r w:rsidRPr="006211E0">
        <w:t>Annex D</w:t>
      </w:r>
      <w:bookmarkEnd w:id="422"/>
      <w:r w:rsidRPr="006211E0">
        <w:t>:</w:t>
      </w:r>
      <w:r w:rsidRPr="006211E0">
        <w:br/>
        <w:t>Channel load measurement</w:t>
      </w:r>
      <w:bookmarkEnd w:id="423"/>
      <w:bookmarkEnd w:id="424"/>
    </w:p>
    <w:p w14:paraId="25F34329" w14:textId="77777777" w:rsidR="00D83CEF" w:rsidRDefault="00D83CEF" w:rsidP="00D83CEF">
      <w:r>
        <w:t xml:space="preserve">In </w:t>
      </w:r>
      <w:r>
        <w:fldChar w:fldCharType="begin"/>
      </w:r>
      <w:r>
        <w:instrText xml:space="preserve"> REF ClS_Characterisation_of_CC \h </w:instrText>
      </w:r>
      <w:r>
        <w:fldChar w:fldCharType="separate"/>
      </w:r>
      <w:r w:rsidRPr="00F54712">
        <w:t xml:space="preserve">Annex </w:t>
      </w:r>
      <w:r>
        <w:t>C</w:t>
      </w:r>
      <w:r>
        <w:fldChar w:fldCharType="end"/>
      </w:r>
      <w:r>
        <w:t xml:space="preserve"> it was assumed that the channel load can be measured in any point of time. In practice it is measured by determining the total channel active time </w:t>
      </w:r>
      <m:oMath>
        <m:sSub>
          <m:sSubPr>
            <m:ctrlPr>
              <w:rPr>
                <w:rFonts w:ascii="Cambria Math" w:hAnsi="Cambria Math"/>
              </w:rPr>
            </m:ctrlPr>
          </m:sSubPr>
          <m:e>
            <m:r>
              <w:rPr>
                <w:rFonts w:ascii="Cambria Math" w:hAnsi="Cambria Math"/>
              </w:rPr>
              <m:t>T</m:t>
            </m:r>
          </m:e>
          <m:sub>
            <m:r>
              <w:rPr>
                <w:rFonts w:ascii="Cambria Math" w:hAnsi="Cambria Math"/>
              </w:rPr>
              <m:t>on total</m:t>
            </m:r>
          </m:sub>
        </m:sSub>
      </m:oMath>
      <w:r>
        <w:t xml:space="preserve"> and the total channel idle time </w:t>
      </w:r>
      <m:oMath>
        <m:sSub>
          <m:sSubPr>
            <m:ctrlPr>
              <w:rPr>
                <w:rFonts w:ascii="Cambria Math" w:hAnsi="Cambria Math"/>
              </w:rPr>
            </m:ctrlPr>
          </m:sSubPr>
          <m:e>
            <m:r>
              <w:rPr>
                <w:rFonts w:ascii="Cambria Math" w:hAnsi="Cambria Math"/>
              </w:rPr>
              <m:t>T</m:t>
            </m:r>
          </m:e>
          <m:sub>
            <m:r>
              <w:rPr>
                <w:rFonts w:ascii="Cambria Math" w:hAnsi="Cambria Math"/>
              </w:rPr>
              <m:t>off total</m:t>
            </m:r>
          </m:sub>
        </m:sSub>
      </m:oMath>
      <w:r>
        <w:t xml:space="preserve"> over a certain measurement period and then by calculating the measured channel load </w:t>
      </w:r>
      <m:oMath>
        <m:sSub>
          <m:sSubPr>
            <m:ctrlPr>
              <w:rPr>
                <w:rFonts w:ascii="Cambria Math" w:hAnsi="Cambria Math"/>
                <w:i/>
                <w:noProof/>
              </w:rPr>
            </m:ctrlPr>
          </m:sSubPr>
          <m:e>
            <m:r>
              <w:rPr>
                <w:rFonts w:ascii="Cambria Math" w:hAnsi="Cambria Math"/>
              </w:rPr>
              <m:t>CL</m:t>
            </m:r>
          </m:e>
          <m:sub>
            <m:r>
              <w:rPr>
                <w:rFonts w:ascii="Cambria Math" w:hAnsi="Cambria Math"/>
              </w:rPr>
              <m:t>m</m:t>
            </m:r>
          </m:sub>
        </m:sSub>
      </m:oMath>
      <w:r>
        <w:t xml:space="preserve"> according to equation </w:t>
      </w:r>
      <w:r>
        <w:fldChar w:fldCharType="begin"/>
      </w:r>
      <w:r>
        <w:instrText xml:space="preserve"> REF EQ_measured_CBR \h </w:instrText>
      </w:r>
      <w:r>
        <w:fldChar w:fldCharType="separate"/>
      </w:r>
      <w:r>
        <w:rPr>
          <w:noProof/>
        </w:rPr>
        <w:t>83</w:t>
      </w:r>
      <w:r>
        <w:fldChar w:fldCharType="end"/>
      </w:r>
      <w:r>
        <w:t xml:space="preserve">. This measured channel load is often called channel busy ratio </w:t>
      </w:r>
      <m:oMath>
        <m:r>
          <w:rPr>
            <w:rFonts w:ascii="Cambria Math" w:hAnsi="Cambria Math"/>
          </w:rPr>
          <m:t>CBR</m:t>
        </m:r>
      </m:oMath>
      <w:r>
        <w:t>.</w:t>
      </w:r>
    </w:p>
    <w:p w14:paraId="00643931" w14:textId="77777777" w:rsidR="00D83CEF" w:rsidRDefault="00D83CEF" w:rsidP="00D83CEF">
      <w:pPr>
        <w:pStyle w:val="EQ"/>
      </w:pPr>
      <w:r w:rsidRPr="00445DD4">
        <w:tab/>
      </w:r>
      <m:oMath>
        <m:sSub>
          <m:sSubPr>
            <m:ctrlPr>
              <w:rPr>
                <w:rFonts w:ascii="Cambria Math" w:hAnsi="Cambria Math"/>
                <w:i/>
              </w:rPr>
            </m:ctrlPr>
          </m:sSubPr>
          <m:e>
            <m:r>
              <w:rPr>
                <w:rFonts w:ascii="Cambria Math" w:hAnsi="Cambria Math"/>
              </w:rPr>
              <m:t>CL</m:t>
            </m:r>
          </m:e>
          <m:sub>
            <m:r>
              <w:rPr>
                <w:rFonts w:ascii="Cambria Math" w:hAnsi="Cambria Math"/>
              </w:rPr>
              <m:t>m</m:t>
            </m:r>
          </m:sub>
        </m:sSub>
        <m:r>
          <w:rPr>
            <w:rFonts w:ascii="Cambria Math" w:hAnsi="Cambria Math"/>
          </w:rPr>
          <m:t>=CBR=</m:t>
        </m:r>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on total</m:t>
                </m:r>
              </m:sub>
            </m:sSub>
          </m:num>
          <m:den>
            <m:sSub>
              <m:sSubPr>
                <m:ctrlPr>
                  <w:rPr>
                    <w:rFonts w:ascii="Cambria Math" w:hAnsi="Cambria Math"/>
                  </w:rPr>
                </m:ctrlPr>
              </m:sSubPr>
              <m:e>
                <m:r>
                  <w:rPr>
                    <w:rFonts w:ascii="Cambria Math" w:hAnsi="Cambria Math"/>
                  </w:rPr>
                  <m:t>T</m:t>
                </m:r>
              </m:e>
              <m:sub>
                <m:r>
                  <w:rPr>
                    <w:rFonts w:ascii="Cambria Math" w:hAnsi="Cambria Math"/>
                  </w:rPr>
                  <m:t>on total</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off total</m:t>
                </m:r>
              </m:sub>
            </m:sSub>
          </m:den>
        </m:f>
      </m:oMath>
      <w:r w:rsidRPr="00445DD4">
        <w:tab/>
        <w:t>(</w:t>
      </w:r>
      <w:bookmarkStart w:id="425" w:name="EQ_measured_CBR"/>
      <w:r w:rsidRPr="00445DD4">
        <w:fldChar w:fldCharType="begin"/>
      </w:r>
      <w:r w:rsidRPr="00445DD4">
        <w:instrText xml:space="preserve"> SEQ Eq \* MERGEFORMAT </w:instrText>
      </w:r>
      <w:r w:rsidRPr="00445DD4">
        <w:fldChar w:fldCharType="separate"/>
      </w:r>
      <w:r>
        <w:t>83</w:t>
      </w:r>
      <w:r w:rsidRPr="00445DD4">
        <w:fldChar w:fldCharType="end"/>
      </w:r>
      <w:bookmarkEnd w:id="425"/>
      <w:r w:rsidRPr="00445DD4">
        <w:t>)</w:t>
      </w:r>
    </w:p>
    <w:p w14:paraId="1FF2B03F" w14:textId="77777777" w:rsidR="00D83CEF" w:rsidRDefault="00D83CEF" w:rsidP="00D83CEF">
      <w:r>
        <w:t xml:space="preserve">When the measurement period is shorter than the idle time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t xml:space="preserve"> between two consecutive messages transmitted by a certain node, the channel utilization of this node will be considered only in some of the channel load measurements. Hence, the measurement result will not be stable even when all nodes are not changing their channel utilization. Furthermore, such a sliding window approach to measure the channel load does exhibit a linear phase over frequency and has no flat frequency response. This has an influence on the control loop stability since some frequencies will be amplified in the control loop, leading to instabilities. Some authors even proposed to inject noise into the measurement results to avoid such a feedback effect in the control loop.</w:t>
      </w:r>
    </w:p>
    <w:p w14:paraId="3C601124" w14:textId="77777777" w:rsidR="00D83CEF" w:rsidRDefault="00D83CEF" w:rsidP="00D83CEF">
      <w:r>
        <w:t>In addition, for an ITS-G5 access layer the measurement times are not synchronised what usually improves stability but complicates an analytic approach to determine stability. Even the unsynchronised measurement times will improve stability, they should not be taken for granted and the stability determination should be done for the worst case of synchronised nodes to guaranty stability for any random configuration.</w:t>
      </w:r>
    </w:p>
    <w:p w14:paraId="4C7E7967" w14:textId="39FF1764" w:rsidR="00D83CEF" w:rsidRDefault="00D83CEF" w:rsidP="00D83CEF">
      <w:r>
        <w:t xml:space="preserve">First simulation results of the table based reactive algorithm show chaotic behaviour, even under static traffic and radio channel conditions. Such a chaotic behaviour is typical for nonlinear differential equations as given by the step function resulting from the table entries. </w:t>
      </w:r>
      <w:r>
        <w:fldChar w:fldCharType="begin"/>
      </w:r>
      <w:r>
        <w:instrText xml:space="preserve"> REF _Ref196911732 \h </w:instrText>
      </w:r>
      <w:r>
        <w:fldChar w:fldCharType="separate"/>
      </w:r>
      <w:r w:rsidR="00A83239" w:rsidRPr="00445DD4">
        <w:t xml:space="preserve">Figure </w:t>
      </w:r>
      <w:r w:rsidR="00A83239">
        <w:rPr>
          <w:noProof/>
        </w:rPr>
        <w:t>38</w:t>
      </w:r>
      <w:r>
        <w:fldChar w:fldCharType="end"/>
      </w:r>
      <w:r>
        <w:t xml:space="preserve"> shows such a behaviour for a </w:t>
      </w:r>
      <w:r w:rsidRPr="00FC46D4">
        <w:t xml:space="preserve">reactive DCC </w:t>
      </w:r>
      <w:r>
        <w:t>according to table A.1 in [</w:t>
      </w:r>
      <w:r w:rsidRPr="00436A20">
        <w:t>ETSI</w:t>
      </w:r>
      <w:r>
        <w:t> </w:t>
      </w:r>
      <w:r w:rsidRPr="00436A20">
        <w:t>TS</w:t>
      </w:r>
      <w:r>
        <w:t> </w:t>
      </w:r>
      <w:r w:rsidRPr="00436A20">
        <w:t>102</w:t>
      </w:r>
      <w:r>
        <w:t> </w:t>
      </w:r>
      <w:r w:rsidRPr="00436A20">
        <w:t>687</w:t>
      </w:r>
      <w:r>
        <w:t> </w:t>
      </w:r>
      <w:r w:rsidRPr="00436A20">
        <w:t>V1.2.1</w:t>
      </w:r>
      <w:r>
        <w:t xml:space="preserve">] </w:t>
      </w:r>
      <w:r w:rsidRPr="00FC46D4">
        <w:t xml:space="preserve">for </w:t>
      </w:r>
      <w:r>
        <w:t xml:space="preserve">401 nodes,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r>
        <w:t xml:space="preserve">, and 100 ms CBR measurement time. The blue bars at the bottom of </w:t>
      </w:r>
      <w:r>
        <w:fldChar w:fldCharType="begin"/>
      </w:r>
      <w:r>
        <w:instrText xml:space="preserve"> REF _Ref196911732 \h </w:instrText>
      </w:r>
      <w:r>
        <w:fldChar w:fldCharType="separate"/>
      </w:r>
      <w:r w:rsidR="00A83239" w:rsidRPr="00445DD4">
        <w:t xml:space="preserve">Figure </w:t>
      </w:r>
      <w:r w:rsidR="00A83239">
        <w:rPr>
          <w:noProof/>
        </w:rPr>
        <w:t>38</w:t>
      </w:r>
      <w:r>
        <w:fldChar w:fldCharType="end"/>
      </w:r>
      <w:r>
        <w:t xml:space="preserve"> show the transmission events. Even the scale is such that not all channel idle periods can be seen in this figure, it is obvious that the white spaces in between the transmissions are not deterministic. The coloured line shows in blue an </w:t>
      </w:r>
      <w:r w:rsidR="001D085A">
        <w:t>underutilization</w:t>
      </w:r>
      <w:r>
        <w:t xml:space="preserve"> and in red an over utilization of the channel. In average it fluctuates chaotically around the expected 60% channel load. It is calculated by a sliding window of one second length. The CBR result obtained with a 100 ms sliding window duration is shown in black, it jumps chaotically between different values in the range from zero to 100%. This fluctuating value is the input to the reactive DCC.</w:t>
      </w:r>
    </w:p>
    <w:p w14:paraId="2B0450C4" w14:textId="7D253383" w:rsidR="00D83CEF" w:rsidRDefault="00D83CEF" w:rsidP="00D83CEF">
      <w:r>
        <w:t xml:space="preserve">To visualize these fluctuations for different number of nodes and thereby different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t xml:space="preserve"> values the shaded region in </w:t>
      </w:r>
      <w:r>
        <w:fldChar w:fldCharType="begin"/>
      </w:r>
      <w:r>
        <w:instrText xml:space="preserve"> REF _Ref196913034 \h </w:instrText>
      </w:r>
      <w:r>
        <w:fldChar w:fldCharType="separate"/>
      </w:r>
      <w:r w:rsidR="00A83239" w:rsidRPr="00445DD4">
        <w:t xml:space="preserve">Figure </w:t>
      </w:r>
      <w:r w:rsidR="00A83239">
        <w:rPr>
          <w:noProof/>
        </w:rPr>
        <w:t>39</w:t>
      </w:r>
      <w:r>
        <w:fldChar w:fldCharType="end"/>
      </w:r>
      <w:r>
        <w:t xml:space="preserve"> shows the range of channel load values measured with a sliding window duration of 1 second that were calculated for a time span of 20 seconds after bounded stability was reached. The green line shows the average of these channel load values. When comparing this to </w:t>
      </w:r>
      <w:r>
        <w:fldChar w:fldCharType="begin"/>
      </w:r>
      <w:r>
        <w:instrText xml:space="preserve"> REF _Ref192233147 \h </w:instrText>
      </w:r>
      <w:r>
        <w:fldChar w:fldCharType="separate"/>
      </w:r>
      <w:r w:rsidR="00A83239" w:rsidRPr="00445DD4">
        <w:t xml:space="preserve">Figure </w:t>
      </w:r>
      <w:r w:rsidR="00A83239">
        <w:rPr>
          <w:noProof/>
        </w:rPr>
        <w:t>29</w:t>
      </w:r>
      <w:r>
        <w:fldChar w:fldCharType="end"/>
      </w:r>
      <w:r>
        <w:t xml:space="preserve"> the theory only fits in the far-left part of </w:t>
      </w:r>
      <w:r>
        <w:fldChar w:fldCharType="begin"/>
      </w:r>
      <w:r>
        <w:instrText xml:space="preserve"> REF _Ref196913034 \h </w:instrText>
      </w:r>
      <w:r>
        <w:fldChar w:fldCharType="separate"/>
      </w:r>
      <w:r w:rsidR="00A83239" w:rsidRPr="00445DD4">
        <w:t xml:space="preserve">Figure </w:t>
      </w:r>
      <w:r w:rsidR="00A83239">
        <w:rPr>
          <w:noProof/>
        </w:rPr>
        <w:t>39</w:t>
      </w:r>
      <w:r>
        <w:fldChar w:fldCharType="end"/>
      </w:r>
      <w:r>
        <w:t xml:space="preserve">. This is because the measurement time span of 100 ms is much shorter than the </w:t>
      </w:r>
      <m:oMath>
        <m:sSub>
          <m:sSubPr>
            <m:ctrlPr>
              <w:rPr>
                <w:rFonts w:ascii="Cambria Math" w:hAnsi="Cambria Math"/>
              </w:rPr>
            </m:ctrlPr>
          </m:sSubPr>
          <m:e>
            <m:r>
              <w:rPr>
                <w:rFonts w:ascii="Cambria Math" w:hAnsi="Cambria Math"/>
              </w:rPr>
              <m:t>T</m:t>
            </m:r>
          </m:e>
          <m:sub>
            <m:r>
              <w:rPr>
                <w:rFonts w:ascii="Cambria Math" w:hAnsi="Cambria Math"/>
              </w:rPr>
              <m:t xml:space="preserve">off </m:t>
            </m:r>
          </m:sub>
        </m:sSub>
      </m:oMath>
      <w:r>
        <w:t xml:space="preserve"> time of each node necessary to limit the channel load when there are more than 40 nodes in range.</w:t>
      </w:r>
    </w:p>
    <w:p w14:paraId="5F9B3BB4" w14:textId="77777777" w:rsidR="00D83CEF" w:rsidRDefault="00D83CEF" w:rsidP="00D83CEF">
      <w:pPr>
        <w:pStyle w:val="FL"/>
      </w:pPr>
      <w:r w:rsidRPr="0032629C">
        <w:rPr>
          <w:noProof/>
        </w:rPr>
        <w:drawing>
          <wp:inline distT="0" distB="0" distL="0" distR="0" wp14:anchorId="1BA41AF7" wp14:editId="5C8487A6">
            <wp:extent cx="4487564" cy="2941737"/>
            <wp:effectExtent l="0" t="0" r="8255" b="0"/>
            <wp:docPr id="1401646288" name="Grafik 1" descr="A graph with green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46288" name="Grafik 1" descr="A graph with green and black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487564" cy="2941737"/>
                    </a:xfrm>
                    <a:prstGeom prst="rect">
                      <a:avLst/>
                    </a:prstGeom>
                  </pic:spPr>
                </pic:pic>
              </a:graphicData>
            </a:graphic>
          </wp:inline>
        </w:drawing>
      </w:r>
    </w:p>
    <w:p w14:paraId="614E53B0" w14:textId="27C5EA90" w:rsidR="00D83CEF" w:rsidRPr="0075297E" w:rsidRDefault="00D83CEF" w:rsidP="00D83CEF">
      <w:pPr>
        <w:pStyle w:val="TF"/>
      </w:pPr>
      <w:bookmarkStart w:id="426" w:name="_Ref196911732"/>
      <w:r w:rsidRPr="00445DD4">
        <w:t xml:space="preserve">Figure </w:t>
      </w:r>
      <w:r w:rsidR="001D085A">
        <w:fldChar w:fldCharType="begin"/>
      </w:r>
      <w:r w:rsidR="001D085A">
        <w:instrText xml:space="preserve"> SEQ Figure \* ARABIC </w:instrText>
      </w:r>
      <w:r w:rsidR="001D085A">
        <w:fldChar w:fldCharType="separate"/>
      </w:r>
      <w:r w:rsidR="001D085A">
        <w:rPr>
          <w:noProof/>
        </w:rPr>
        <w:t>38</w:t>
      </w:r>
      <w:r w:rsidR="001D085A">
        <w:rPr>
          <w:noProof/>
        </w:rPr>
        <w:fldChar w:fldCharType="end"/>
      </w:r>
      <w:bookmarkEnd w:id="426"/>
      <w:r w:rsidRPr="00445DD4">
        <w:tab/>
      </w:r>
      <w:r>
        <w:t xml:space="preserve">Time behaviour for a </w:t>
      </w:r>
      <w:r w:rsidRPr="00FC46D4">
        <w:t xml:space="preserve">reactive DCC </w:t>
      </w:r>
      <w:r>
        <w:t>according to table A.1 in [</w:t>
      </w:r>
      <w:r w:rsidRPr="00436A20">
        <w:t>ETSI</w:t>
      </w:r>
      <w:r>
        <w:t> </w:t>
      </w:r>
      <w:r w:rsidRPr="00436A20">
        <w:t>TS</w:t>
      </w:r>
      <w:r>
        <w:t> </w:t>
      </w:r>
      <w:r w:rsidRPr="00436A20">
        <w:t>102</w:t>
      </w:r>
      <w:r>
        <w:t> </w:t>
      </w:r>
      <w:r w:rsidRPr="00436A20">
        <w:t>687</w:t>
      </w:r>
      <w:r>
        <w:t> </w:t>
      </w:r>
      <w:r w:rsidRPr="00436A20">
        <w:t>V1.2.1</w:t>
      </w:r>
      <w:r>
        <w:t xml:space="preserve">] </w:t>
      </w:r>
      <w:r>
        <w:br/>
      </w:r>
      <w:r w:rsidRPr="00FC46D4">
        <w:t xml:space="preserve">for </w:t>
      </w:r>
      <w:r>
        <w:t xml:space="preserve">401 nodes,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r>
        <w:t>, and 100 ms CBR measurement time.</w:t>
      </w:r>
    </w:p>
    <w:p w14:paraId="14ED64FA" w14:textId="77777777" w:rsidR="00D83CEF" w:rsidRDefault="00D83CEF" w:rsidP="00D83CEF">
      <w:pPr>
        <w:pStyle w:val="FL"/>
      </w:pPr>
      <w:r w:rsidRPr="007206C3">
        <w:rPr>
          <w:noProof/>
        </w:rPr>
        <w:drawing>
          <wp:inline distT="0" distB="0" distL="0" distR="0" wp14:anchorId="2104C926" wp14:editId="4FA57A77">
            <wp:extent cx="4083950" cy="2576037"/>
            <wp:effectExtent l="0" t="0" r="0" b="0"/>
            <wp:docPr id="19181491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85832" cy="2577224"/>
                    </a:xfrm>
                    <a:prstGeom prst="rect">
                      <a:avLst/>
                    </a:prstGeom>
                    <a:noFill/>
                    <a:ln>
                      <a:noFill/>
                    </a:ln>
                  </pic:spPr>
                </pic:pic>
              </a:graphicData>
            </a:graphic>
          </wp:inline>
        </w:drawing>
      </w:r>
    </w:p>
    <w:p w14:paraId="72477CB8" w14:textId="724D7523" w:rsidR="00D83CEF" w:rsidRDefault="00D83CEF" w:rsidP="00D83CEF">
      <w:pPr>
        <w:pStyle w:val="TF"/>
      </w:pPr>
      <w:bookmarkStart w:id="427" w:name="_Ref196913034"/>
      <w:r w:rsidRPr="00445DD4">
        <w:t xml:space="preserve">Figure </w:t>
      </w:r>
      <w:r w:rsidR="001D085A">
        <w:fldChar w:fldCharType="begin"/>
      </w:r>
      <w:r w:rsidR="001D085A">
        <w:instrText xml:space="preserve"> SEQ Figure \* ARABIC </w:instrText>
      </w:r>
      <w:r w:rsidR="001D085A">
        <w:fldChar w:fldCharType="separate"/>
      </w:r>
      <w:r w:rsidR="001D085A">
        <w:rPr>
          <w:noProof/>
        </w:rPr>
        <w:t>39</w:t>
      </w:r>
      <w:r w:rsidR="001D085A">
        <w:rPr>
          <w:noProof/>
        </w:rPr>
        <w:fldChar w:fldCharType="end"/>
      </w:r>
      <w:bookmarkEnd w:id="427"/>
      <w:r w:rsidRPr="00445DD4">
        <w:tab/>
      </w:r>
      <w:r>
        <w:t xml:space="preserve">Bounded stability for a </w:t>
      </w:r>
      <w:r w:rsidRPr="00FC46D4">
        <w:t xml:space="preserve">reactive DCC </w:t>
      </w:r>
      <w:r>
        <w:t>according to table A.1 in [</w:t>
      </w:r>
      <w:r w:rsidRPr="00436A20">
        <w:t>ETSI</w:t>
      </w:r>
      <w:r>
        <w:t> </w:t>
      </w:r>
      <w:r w:rsidRPr="00436A20">
        <w:t>TS</w:t>
      </w:r>
      <w:r>
        <w:t> </w:t>
      </w:r>
      <w:r w:rsidRPr="00436A20">
        <w:t>102</w:t>
      </w:r>
      <w:r>
        <w:t> </w:t>
      </w:r>
      <w:r w:rsidRPr="00436A20">
        <w:t>687</w:t>
      </w:r>
      <w:r>
        <w:t> </w:t>
      </w:r>
      <w:r w:rsidRPr="00436A20">
        <w:t>V1.2.1</w:t>
      </w:r>
      <w:r>
        <w:t xml:space="preserve">] </w:t>
      </w:r>
      <w:r w:rsidRPr="00FC46D4">
        <w:t xml:space="preserve">for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r>
        <w:t xml:space="preserve"> and 100 ms CBR measurement time.</w:t>
      </w:r>
    </w:p>
    <w:p w14:paraId="3B889DFF" w14:textId="129FB2BE" w:rsidR="00D83CEF" w:rsidRDefault="00D83CEF" w:rsidP="00D83CEF">
      <w:r>
        <w:t>To reduce the chaotic behaviour of the measured channel load, the measurement period can be increase as specified in [C2C</w:t>
      </w:r>
      <w:r>
        <w:noBreakHyphen/>
        <w:t>CC: “</w:t>
      </w:r>
      <w:r w:rsidRPr="00436A20">
        <w:t>Vehicle C-ITS station profile</w:t>
      </w:r>
      <w:r>
        <w:t xml:space="preserve"> #</w:t>
      </w:r>
      <w:r w:rsidRPr="00436A20">
        <w:t>2037</w:t>
      </w:r>
      <w:r>
        <w:t xml:space="preserve">”, </w:t>
      </w:r>
      <w:r w:rsidRPr="00436A20">
        <w:t>RS_BSP_240</w:t>
      </w:r>
      <w:r>
        <w:t xml:space="preserve">], where it was doubled to 200 ms. </w:t>
      </w:r>
      <w:r>
        <w:fldChar w:fldCharType="begin"/>
      </w:r>
      <w:r>
        <w:instrText xml:space="preserve"> REF _Ref196914266 \h </w:instrText>
      </w:r>
      <w:r>
        <w:fldChar w:fldCharType="separate"/>
      </w:r>
      <w:r w:rsidR="00A83239" w:rsidRPr="00445DD4">
        <w:t xml:space="preserve">Figure </w:t>
      </w:r>
      <w:r w:rsidR="00A83239">
        <w:rPr>
          <w:noProof/>
        </w:rPr>
        <w:t>40</w:t>
      </w:r>
      <w:r>
        <w:fldChar w:fldCharType="end"/>
      </w:r>
      <w:r>
        <w:t xml:space="preserve"> shows the result for this doubled measurement period. As expected, the result is close to theory for around double the number of nodes compared to a measurement period of 100 ms. Still, for more than 80 nodes the behaviour gets again chaotic.</w:t>
      </w:r>
    </w:p>
    <w:p w14:paraId="032222EC" w14:textId="77777777" w:rsidR="00D83CEF" w:rsidRDefault="00D83CEF" w:rsidP="00D83CEF">
      <w:r>
        <w:t>As a conclusion, the topic of the channel load measurement needs some further investigation to find the right way of doing it.</w:t>
      </w:r>
    </w:p>
    <w:p w14:paraId="4FA25EB2" w14:textId="77777777" w:rsidR="00D83CEF" w:rsidRDefault="00D83CEF" w:rsidP="00D83CEF">
      <w:pPr>
        <w:pStyle w:val="FL"/>
      </w:pPr>
      <w:r w:rsidRPr="00345AB7">
        <w:rPr>
          <w:noProof/>
        </w:rPr>
        <w:drawing>
          <wp:inline distT="0" distB="0" distL="0" distR="0" wp14:anchorId="1A5818E6" wp14:editId="40BFF816">
            <wp:extent cx="3898800" cy="2458800"/>
            <wp:effectExtent l="0" t="0" r="0" b="0"/>
            <wp:docPr id="2356884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898800" cy="2458800"/>
                    </a:xfrm>
                    <a:prstGeom prst="rect">
                      <a:avLst/>
                    </a:prstGeom>
                    <a:noFill/>
                    <a:ln>
                      <a:noFill/>
                    </a:ln>
                  </pic:spPr>
                </pic:pic>
              </a:graphicData>
            </a:graphic>
          </wp:inline>
        </w:drawing>
      </w:r>
    </w:p>
    <w:p w14:paraId="2317BDE4" w14:textId="7CD24C41" w:rsidR="00D83CEF" w:rsidRPr="0075297E" w:rsidRDefault="00D83CEF" w:rsidP="00D83CEF">
      <w:pPr>
        <w:pStyle w:val="TF"/>
      </w:pPr>
      <w:bookmarkStart w:id="428" w:name="_Ref196914266"/>
      <w:r w:rsidRPr="00445DD4">
        <w:t xml:space="preserve">Figure </w:t>
      </w:r>
      <w:r w:rsidR="001D085A">
        <w:fldChar w:fldCharType="begin"/>
      </w:r>
      <w:r w:rsidR="001D085A">
        <w:instrText xml:space="preserve"> SEQ Figure \* ARABIC </w:instrText>
      </w:r>
      <w:r w:rsidR="001D085A">
        <w:fldChar w:fldCharType="separate"/>
      </w:r>
      <w:r w:rsidR="001D085A">
        <w:rPr>
          <w:noProof/>
        </w:rPr>
        <w:t>40</w:t>
      </w:r>
      <w:r w:rsidR="001D085A">
        <w:rPr>
          <w:noProof/>
        </w:rPr>
        <w:fldChar w:fldCharType="end"/>
      </w:r>
      <w:bookmarkEnd w:id="428"/>
      <w:r w:rsidRPr="00445DD4">
        <w:tab/>
      </w:r>
      <w:r>
        <w:t xml:space="preserve">Bounded stability for a </w:t>
      </w:r>
      <w:r w:rsidRPr="00FC46D4">
        <w:t xml:space="preserve">reactive DCC </w:t>
      </w:r>
      <w:r>
        <w:t>according to [C2C</w:t>
      </w:r>
      <w:r>
        <w:noBreakHyphen/>
        <w:t>CC: “</w:t>
      </w:r>
      <w:r w:rsidRPr="00436A20">
        <w:t>Vehicle C-ITS station profile</w:t>
      </w:r>
      <w:r>
        <w:t xml:space="preserve"> #</w:t>
      </w:r>
      <w:r w:rsidRPr="00436A20">
        <w:t>2037</w:t>
      </w:r>
      <w:r>
        <w:t xml:space="preserve">”, </w:t>
      </w:r>
      <w:r w:rsidRPr="00436A20">
        <w:t>RS_BSP_240</w:t>
      </w:r>
      <w:r>
        <w:t xml:space="preserve">] </w:t>
      </w:r>
      <w:r w:rsidRPr="00FC46D4">
        <w:t xml:space="preserve">for </w:t>
      </w:r>
      <w:r w:rsidRPr="00FC46D4">
        <w:rPr>
          <w:i/>
          <w:iCs/>
        </w:rPr>
        <w:t>T</w:t>
      </w:r>
      <w:r w:rsidRPr="00FC46D4">
        <w:rPr>
          <w:i/>
          <w:iCs/>
          <w:vertAlign w:val="subscript"/>
        </w:rPr>
        <w:t>on</w:t>
      </w:r>
      <w:r>
        <w:rPr>
          <w:i/>
          <w:iCs/>
          <w:vertAlign w:val="subscript"/>
        </w:rPr>
        <w:t> </w:t>
      </w:r>
      <w:r w:rsidRPr="00FC46D4">
        <w:t>=</w:t>
      </w:r>
      <w:r>
        <w:t> </w:t>
      </w:r>
      <w:r w:rsidRPr="00FC46D4">
        <w:t>1</w:t>
      </w:r>
      <w:r>
        <w:t> </w:t>
      </w:r>
      <w:r w:rsidRPr="00FC46D4">
        <w:t>ms</w:t>
      </w:r>
      <w:r>
        <w:t xml:space="preserve"> and 200 ms CBR measurement time</w:t>
      </w:r>
    </w:p>
    <w:p w14:paraId="60DC9B88" w14:textId="77777777" w:rsidR="00D83CEF" w:rsidRDefault="00D83CEF" w:rsidP="00D83CEF"/>
    <w:p w14:paraId="0A47AA18" w14:textId="77777777" w:rsidR="00D83CEF" w:rsidRDefault="00D83CEF" w:rsidP="00D83CEF"/>
    <w:p w14:paraId="7A550D98" w14:textId="77777777" w:rsidR="00D83CEF" w:rsidRPr="006E64F1" w:rsidRDefault="00D83CEF" w:rsidP="00D83CEF"/>
    <w:p w14:paraId="2BF766DF" w14:textId="77777777" w:rsidR="00D83CEF" w:rsidRDefault="00D83CEF" w:rsidP="00D83CEF">
      <w:r>
        <w:br w:type="page"/>
      </w:r>
    </w:p>
    <w:p w14:paraId="4BEF85B5" w14:textId="4CA06838" w:rsidR="005B21F8" w:rsidRDefault="009042C0" w:rsidP="005B21F8">
      <w:pPr>
        <w:pStyle w:val="Heading9"/>
      </w:pPr>
      <w:bookmarkStart w:id="429" w:name="_Toc197337091"/>
      <w:r w:rsidRPr="009042C0">
        <w:t>A</w:t>
      </w:r>
      <w:bookmarkEnd w:id="276"/>
      <w:bookmarkEnd w:id="277"/>
      <w:bookmarkEnd w:id="278"/>
      <w:bookmarkEnd w:id="279"/>
      <w:bookmarkEnd w:id="280"/>
      <w:bookmarkEnd w:id="281"/>
      <w:r w:rsidR="005B21F8" w:rsidRPr="009042C0">
        <w:t xml:space="preserve">nnex </w:t>
      </w:r>
      <w:r>
        <w:t>E</w:t>
      </w:r>
      <w:r w:rsidR="005B21F8" w:rsidRPr="009042C0">
        <w:t>:</w:t>
      </w:r>
      <w:r w:rsidR="005B21F8" w:rsidRPr="00F54712">
        <w:br/>
      </w:r>
      <w:r w:rsidR="005B21F8">
        <w:t>Evaluation of basic RM solution</w:t>
      </w:r>
      <w:bookmarkEnd w:id="429"/>
    </w:p>
    <w:p w14:paraId="3EE93B75" w14:textId="77777777" w:rsidR="005B21F8" w:rsidRDefault="005B21F8" w:rsidP="005B21F8">
      <w:pPr>
        <w:pStyle w:val="Heading2"/>
      </w:pPr>
      <w:bookmarkStart w:id="430" w:name="_Toc197337092"/>
      <w:r>
        <w:t>C.1</w:t>
      </w:r>
      <w:r>
        <w:tab/>
        <w:t>Evaluation set-up</w:t>
      </w:r>
      <w:bookmarkEnd w:id="430"/>
    </w:p>
    <w:p w14:paraId="149AD504" w14:textId="77777777" w:rsidR="005B21F8" w:rsidRDefault="005B21F8" w:rsidP="005B21F8">
      <w:r>
        <w:t xml:space="preserve">The basic solution described in clause </w:t>
      </w:r>
      <w:r>
        <w:fldChar w:fldCharType="begin"/>
      </w:r>
      <w:r>
        <w:instrText xml:space="preserve"> REF _Ref192493389 \r \h </w:instrText>
      </w:r>
      <w:r>
        <w:fldChar w:fldCharType="separate"/>
      </w:r>
      <w:r>
        <w:t>7.3.6</w:t>
      </w:r>
      <w:r>
        <w:fldChar w:fldCharType="end"/>
      </w:r>
      <w:r>
        <w:t xml:space="preserve"> is evaluated. </w:t>
      </w:r>
      <w:r w:rsidRPr="003D3CB6">
        <w:t xml:space="preserve">The evaluation was performed using a virtualized testing environment to mimic real-world C-ITS operations. The </w:t>
      </w:r>
      <w:r>
        <w:t>RM</w:t>
      </w:r>
      <w:r w:rsidRPr="003D3CB6">
        <w:t xml:space="preserve"> module was integrated into the Vanetza C-ITS protocol stack </w:t>
      </w:r>
      <w:r>
        <w:t xml:space="preserve">at the Facilities layer </w:t>
      </w:r>
      <w:r w:rsidRPr="003D3CB6">
        <w:t xml:space="preserve">with only minimal modifications—leveraging an extended version of the Socktapp tool—to support the additional congestion control functionalities at the facilities layer. To enable concurrent testing, the entire stack was encapsulated in a Docker container image, allowing multiple instances to run on a single hardware platform. Each container represented a distinct C-ITS station with five active V2X services, connected via a Docker virtual network. A scaling factor was applied to </w:t>
      </w:r>
      <w:r>
        <w:t>emulate</w:t>
      </w:r>
      <w:r w:rsidRPr="003D3CB6">
        <w:t xml:space="preserve"> low, medium, and high channel load scenarios by adjusting the effective </w:t>
      </w:r>
      <w:r>
        <w:t xml:space="preserve">channel load, evaluated through the </w:t>
      </w:r>
      <w:r w:rsidRPr="003D3CB6">
        <w:t>Channel Busy Ratio (CBR). This approach also took into account realistic processing delays and hardware limitations, ensuring that the evaluation reflected operational conditions.</w:t>
      </w:r>
    </w:p>
    <w:p w14:paraId="12EAC84F" w14:textId="77777777" w:rsidR="005B21F8" w:rsidRDefault="005B21F8" w:rsidP="005B21F8">
      <w:pPr>
        <w:pStyle w:val="Heading2"/>
      </w:pPr>
      <w:bookmarkStart w:id="431" w:name="_Toc197337093"/>
      <w:r>
        <w:t>C.2</w:t>
      </w:r>
      <w:r>
        <w:tab/>
        <w:t>Results</w:t>
      </w:r>
      <w:bookmarkEnd w:id="431"/>
    </w:p>
    <w:p w14:paraId="5413279C" w14:textId="67334F72" w:rsidR="005B21F8" w:rsidRDefault="005B21F8" w:rsidP="005B21F8">
      <w:r w:rsidRPr="0005753F">
        <w:t>The experimental results confirmed that the basic solution achieves convergence and effective congestion control under varying channel loads. Under low channel load conditions, the system converged to a resource usage value (δ) of approximately 2.74%</w:t>
      </w:r>
      <w:r>
        <w:t xml:space="preserve"> </w:t>
      </w:r>
      <w:r w:rsidR="00FC5464">
        <w:t>(</w:t>
      </w:r>
      <w:r w:rsidR="00FC5464">
        <w:fldChar w:fldCharType="begin"/>
      </w:r>
      <w:r w:rsidR="00FC5464">
        <w:instrText xml:space="preserve"> REF _Ref197334347 \h </w:instrText>
      </w:r>
      <w:r w:rsidR="00FC5464">
        <w:fldChar w:fldCharType="separate"/>
      </w:r>
      <w:r w:rsidR="00FC5464" w:rsidRPr="00445DD4">
        <w:t xml:space="preserve">Figure </w:t>
      </w:r>
      <w:r w:rsidR="00FC5464">
        <w:rPr>
          <w:noProof/>
        </w:rPr>
        <w:t>41</w:t>
      </w:r>
      <w:r w:rsidR="00FC5464">
        <w:fldChar w:fldCharType="end"/>
      </w:r>
      <w:r>
        <w:t>a)</w:t>
      </w:r>
      <w:r w:rsidRPr="0005753F">
        <w:t xml:space="preserve">. In contrast, for medium and high channel load scenarios, δ stabilized at around 0.66% and 0.45%, respectively. The evaluation showed that the implemented </w:t>
      </w:r>
      <w:r>
        <w:t>RM</w:t>
      </w:r>
      <w:r w:rsidRPr="0005753F">
        <w:t xml:space="preserve"> module could reduce the CBR from a potential 94%—if all services transmitted at maximum rate—to about 62% under high load</w:t>
      </w:r>
      <w:r>
        <w:t xml:space="preserve"> (</w:t>
      </w:r>
      <w:r w:rsidR="00FC5464">
        <w:fldChar w:fldCharType="begin"/>
      </w:r>
      <w:r w:rsidR="00FC5464">
        <w:instrText xml:space="preserve"> REF _Ref197334347 \h </w:instrText>
      </w:r>
      <w:r w:rsidR="00FC5464">
        <w:fldChar w:fldCharType="separate"/>
      </w:r>
      <w:r w:rsidR="00FC5464" w:rsidRPr="00445DD4">
        <w:t xml:space="preserve">Figure </w:t>
      </w:r>
      <w:r w:rsidR="00FC5464">
        <w:rPr>
          <w:noProof/>
        </w:rPr>
        <w:t>41</w:t>
      </w:r>
      <w:r w:rsidR="00FC5464">
        <w:fldChar w:fldCharType="end"/>
      </w:r>
      <w:r>
        <w:t>b)</w:t>
      </w:r>
      <w:r w:rsidRPr="0005753F">
        <w:t>. Additionally, while there were slight deviations between the configured and actual transmission intervals (attributable to real-time processing delays</w:t>
      </w:r>
      <w:r>
        <w:t xml:space="preserve">, see </w:t>
      </w:r>
      <w:r>
        <w:fldChar w:fldCharType="begin"/>
      </w:r>
      <w:r>
        <w:instrText xml:space="preserve"> REF _Ref192493565 \h </w:instrText>
      </w:r>
      <w:r>
        <w:fldChar w:fldCharType="separate"/>
      </w:r>
      <w:r w:rsidR="00FC5464" w:rsidRPr="00445DD4">
        <w:t xml:space="preserve">Figure </w:t>
      </w:r>
      <w:r w:rsidR="00FC5464">
        <w:rPr>
          <w:noProof/>
        </w:rPr>
        <w:t>42</w:t>
      </w:r>
      <w:r>
        <w:fldChar w:fldCharType="end"/>
      </w:r>
      <w:r w:rsidRPr="0005753F">
        <w:t xml:space="preserve">, these discrepancies did not impact the overall stability or robustness of the congestion control mechanism. The results validate that the integration of the </w:t>
      </w:r>
      <w:r>
        <w:t>RM</w:t>
      </w:r>
      <w:r w:rsidRPr="0005753F">
        <w:t xml:space="preserve"> within Vanetza and its execution in a Docker-based virtualized environment effectively bridge simulation-based studies and real-world testing.</w:t>
      </w:r>
    </w:p>
    <w:p w14:paraId="7DE36C40" w14:textId="77777777" w:rsidR="005B21F8" w:rsidRDefault="005B21F8" w:rsidP="005B21F8">
      <w:pPr>
        <w:keepNext/>
      </w:pPr>
      <w:r w:rsidRPr="0005753F">
        <w:rPr>
          <w:noProof/>
          <w:lang w:val="it-IT" w:eastAsia="it-IT"/>
        </w:rPr>
        <w:drawing>
          <wp:inline distT="0" distB="0" distL="0" distR="0" wp14:anchorId="6F939080" wp14:editId="0B1B70FE">
            <wp:extent cx="3024000" cy="1803582"/>
            <wp:effectExtent l="0" t="0" r="0" b="6350"/>
            <wp:docPr id="185116536" name="Imagen 10">
              <a:extLst xmlns:a="http://schemas.openxmlformats.org/drawingml/2006/main">
                <a:ext uri="{FF2B5EF4-FFF2-40B4-BE49-F238E27FC236}">
                  <a16:creationId xmlns:a16="http://schemas.microsoft.com/office/drawing/2014/main" id="{FE3800A2-31AE-077B-1660-1AB5F4335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FE3800A2-31AE-077B-1660-1AB5F4335BE2}"/>
                        </a:ext>
                      </a:extLst>
                    </pic:cNvPr>
                    <pic:cNvPicPr>
                      <a:picLocks noChangeAspect="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24000" cy="1803582"/>
                    </a:xfrm>
                    <a:prstGeom prst="rect">
                      <a:avLst/>
                    </a:prstGeom>
                    <a:noFill/>
                    <a:ln>
                      <a:noFill/>
                    </a:ln>
                  </pic:spPr>
                </pic:pic>
              </a:graphicData>
            </a:graphic>
          </wp:inline>
        </w:drawing>
      </w:r>
      <w:r>
        <w:t xml:space="preserve"> </w:t>
      </w:r>
      <w:r w:rsidRPr="0005753F">
        <w:rPr>
          <w:noProof/>
          <w:lang w:val="it-IT" w:eastAsia="it-IT"/>
        </w:rPr>
        <w:drawing>
          <wp:inline distT="0" distB="0" distL="0" distR="0" wp14:anchorId="36CA88BB" wp14:editId="12EC3A37">
            <wp:extent cx="3024000" cy="1836926"/>
            <wp:effectExtent l="0" t="0" r="5080" b="0"/>
            <wp:docPr id="1317147664" name="Imagen 11">
              <a:extLst xmlns:a="http://schemas.openxmlformats.org/drawingml/2006/main">
                <a:ext uri="{FF2B5EF4-FFF2-40B4-BE49-F238E27FC236}">
                  <a16:creationId xmlns:a16="http://schemas.microsoft.com/office/drawing/2014/main" id="{A30BAE2E-9A89-ED45-B540-1E11725AB7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A30BAE2E-9A89-ED45-B540-1E11725AB769}"/>
                        </a:ext>
                      </a:extLst>
                    </pic:cNvPr>
                    <pic:cNvPicPr>
                      <a:picLocks noChangeAspect="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4000" cy="1836926"/>
                    </a:xfrm>
                    <a:prstGeom prst="rect">
                      <a:avLst/>
                    </a:prstGeom>
                    <a:noFill/>
                    <a:ln>
                      <a:noFill/>
                    </a:ln>
                  </pic:spPr>
                </pic:pic>
              </a:graphicData>
            </a:graphic>
          </wp:inline>
        </w:drawing>
      </w:r>
    </w:p>
    <w:p w14:paraId="5DC0EFC4" w14:textId="367BB0CA" w:rsidR="006519ED" w:rsidRDefault="005B21F8" w:rsidP="005B21F8">
      <w:pPr>
        <w:keepNext/>
        <w:tabs>
          <w:tab w:val="center" w:pos="2552"/>
          <w:tab w:val="center" w:pos="7371"/>
        </w:tabs>
      </w:pPr>
      <w:r>
        <w:tab/>
        <w:t>(a) Available resources (delta)</w:t>
      </w:r>
      <w:r>
        <w:tab/>
        <w:t>(b) Channel load or CBR (Channel Busy Ratio)</w:t>
      </w:r>
    </w:p>
    <w:p w14:paraId="1FCF31E4" w14:textId="423A1032" w:rsidR="005B21F8" w:rsidRDefault="001D085A" w:rsidP="001D085A">
      <w:pPr>
        <w:pStyle w:val="Caption"/>
        <w:jc w:val="center"/>
      </w:pPr>
      <w:bookmarkStart w:id="432" w:name="_Ref197334347"/>
      <w:bookmarkStart w:id="433" w:name="_Ref192493429"/>
      <w:r w:rsidRPr="00445DD4">
        <w:t xml:space="preserve">Figure </w:t>
      </w:r>
      <w:r>
        <w:fldChar w:fldCharType="begin"/>
      </w:r>
      <w:r>
        <w:instrText xml:space="preserve"> SEQ Figure \* ARABIC </w:instrText>
      </w:r>
      <w:r>
        <w:fldChar w:fldCharType="separate"/>
      </w:r>
      <w:r>
        <w:rPr>
          <w:noProof/>
        </w:rPr>
        <w:t>41</w:t>
      </w:r>
      <w:r>
        <w:rPr>
          <w:noProof/>
        </w:rPr>
        <w:fldChar w:fldCharType="end"/>
      </w:r>
      <w:bookmarkEnd w:id="432"/>
      <w:r w:rsidR="00FC5464">
        <w:t xml:space="preserve">, </w:t>
      </w:r>
      <w:bookmarkEnd w:id="433"/>
      <w:r w:rsidR="005B21F8">
        <w:t>Stability and convergence of the implementation</w:t>
      </w:r>
    </w:p>
    <w:p w14:paraId="6AB9C168" w14:textId="77777777" w:rsidR="005B21F8" w:rsidRDefault="005B21F8" w:rsidP="005B21F8">
      <w:pPr>
        <w:keepNext/>
      </w:pPr>
      <w:r w:rsidRPr="00C35940">
        <w:rPr>
          <w:noProof/>
          <w:lang w:val="it-IT" w:eastAsia="it-IT"/>
        </w:rPr>
        <w:drawing>
          <wp:inline distT="0" distB="0" distL="0" distR="0" wp14:anchorId="0B820003" wp14:editId="15473721">
            <wp:extent cx="3024000" cy="1842113"/>
            <wp:effectExtent l="0" t="0" r="5080" b="6350"/>
            <wp:docPr id="1105580427" name="Imagen 10">
              <a:extLst xmlns:a="http://schemas.openxmlformats.org/drawingml/2006/main">
                <a:ext uri="{FF2B5EF4-FFF2-40B4-BE49-F238E27FC236}">
                  <a16:creationId xmlns:a16="http://schemas.microsoft.com/office/drawing/2014/main" id="{E32FAB75-15FA-F618-193C-0F7E4C6127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0">
                      <a:extLst>
                        <a:ext uri="{FF2B5EF4-FFF2-40B4-BE49-F238E27FC236}">
                          <a16:creationId xmlns:a16="http://schemas.microsoft.com/office/drawing/2014/main" id="{E32FAB75-15FA-F618-193C-0F7E4C612775}"/>
                        </a:ext>
                      </a:extLst>
                    </pic:cNvPr>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24000" cy="1842113"/>
                    </a:xfrm>
                    <a:prstGeom prst="rect">
                      <a:avLst/>
                    </a:prstGeom>
                    <a:noFill/>
                    <a:ln>
                      <a:noFill/>
                    </a:ln>
                  </pic:spPr>
                </pic:pic>
              </a:graphicData>
            </a:graphic>
          </wp:inline>
        </w:drawing>
      </w:r>
      <w:r>
        <w:t xml:space="preserve"> </w:t>
      </w:r>
      <w:r w:rsidRPr="00C35940">
        <w:rPr>
          <w:noProof/>
          <w:lang w:val="it-IT" w:eastAsia="it-IT"/>
        </w:rPr>
        <w:drawing>
          <wp:inline distT="0" distB="0" distL="0" distR="0" wp14:anchorId="681A9DC4" wp14:editId="60234B8E">
            <wp:extent cx="3024000" cy="1842113"/>
            <wp:effectExtent l="0" t="0" r="5080" b="6350"/>
            <wp:docPr id="923638699" name="Imagen 11">
              <a:extLst xmlns:a="http://schemas.openxmlformats.org/drawingml/2006/main">
                <a:ext uri="{FF2B5EF4-FFF2-40B4-BE49-F238E27FC236}">
                  <a16:creationId xmlns:a16="http://schemas.microsoft.com/office/drawing/2014/main" id="{D04448B9-B711-983B-18FE-7928056F20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1">
                      <a:extLst>
                        <a:ext uri="{FF2B5EF4-FFF2-40B4-BE49-F238E27FC236}">
                          <a16:creationId xmlns:a16="http://schemas.microsoft.com/office/drawing/2014/main" id="{D04448B9-B711-983B-18FE-7928056F200E}"/>
                        </a:ext>
                      </a:extLst>
                    </pic:cNvPr>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024000" cy="1842113"/>
                    </a:xfrm>
                    <a:prstGeom prst="rect">
                      <a:avLst/>
                    </a:prstGeom>
                    <a:noFill/>
                    <a:ln>
                      <a:noFill/>
                    </a:ln>
                  </pic:spPr>
                </pic:pic>
              </a:graphicData>
            </a:graphic>
          </wp:inline>
        </w:drawing>
      </w:r>
    </w:p>
    <w:p w14:paraId="4E027444" w14:textId="56F42C7F" w:rsidR="006519ED" w:rsidRDefault="005B21F8" w:rsidP="005B21F8">
      <w:pPr>
        <w:keepNext/>
        <w:tabs>
          <w:tab w:val="center" w:pos="2552"/>
          <w:tab w:val="center" w:pos="7371"/>
        </w:tabs>
      </w:pPr>
      <w:r>
        <w:tab/>
        <w:t>(a) Low channel load</w:t>
      </w:r>
      <w:r>
        <w:tab/>
        <w:t>(b) Medium channel load</w:t>
      </w:r>
    </w:p>
    <w:p w14:paraId="1D6AA8DD" w14:textId="705BF354" w:rsidR="005B21F8" w:rsidRPr="0027479C" w:rsidRDefault="001D085A" w:rsidP="001D085A">
      <w:pPr>
        <w:pStyle w:val="Caption"/>
        <w:jc w:val="center"/>
      </w:pPr>
      <w:bookmarkStart w:id="434" w:name="_Ref192493565"/>
      <w:r w:rsidRPr="00445DD4">
        <w:t xml:space="preserve">Figure </w:t>
      </w:r>
      <w:r>
        <w:fldChar w:fldCharType="begin"/>
      </w:r>
      <w:r>
        <w:instrText xml:space="preserve"> SEQ Figure \* ARABIC </w:instrText>
      </w:r>
      <w:r>
        <w:fldChar w:fldCharType="separate"/>
      </w:r>
      <w:r>
        <w:rPr>
          <w:noProof/>
        </w:rPr>
        <w:t>42</w:t>
      </w:r>
      <w:r>
        <w:rPr>
          <w:noProof/>
        </w:rPr>
        <w:fldChar w:fldCharType="end"/>
      </w:r>
      <w:bookmarkEnd w:id="434"/>
      <w:r w:rsidR="00FC5464">
        <w:t xml:space="preserve">, </w:t>
      </w:r>
      <w:r w:rsidR="005B21F8">
        <w:t>Time evolution of transmission interval of different services</w:t>
      </w:r>
    </w:p>
    <w:p w14:paraId="1FDCEFF1" w14:textId="77777777" w:rsidR="005B21F8" w:rsidRPr="00F24015" w:rsidRDefault="005B21F8" w:rsidP="005B21F8"/>
    <w:p w14:paraId="79EDB93A" w14:textId="77777777" w:rsidR="005B21F8" w:rsidRDefault="005B21F8" w:rsidP="005B21F8"/>
    <w:p w14:paraId="22AF98EF" w14:textId="4F20E172" w:rsidR="005B21F8" w:rsidRDefault="005B21F8">
      <w:pPr>
        <w:overflowPunct/>
        <w:autoSpaceDE/>
        <w:autoSpaceDN/>
        <w:adjustRightInd/>
        <w:spacing w:after="0"/>
        <w:textAlignment w:val="auto"/>
        <w:rPr>
          <w:rStyle w:val="Guidance"/>
          <w:i w:val="0"/>
          <w:color w:val="000000" w:themeColor="text1"/>
          <w:sz w:val="18"/>
        </w:rPr>
      </w:pPr>
      <w:r>
        <w:rPr>
          <w:rStyle w:val="Guidance"/>
          <w:i w:val="0"/>
          <w:color w:val="000000" w:themeColor="text1"/>
          <w:sz w:val="18"/>
        </w:rPr>
        <w:br w:type="page"/>
      </w:r>
    </w:p>
    <w:p w14:paraId="149D24FE" w14:textId="64D9A68C" w:rsidR="001B7A76" w:rsidRPr="00F54712" w:rsidRDefault="001B7A76" w:rsidP="001B7A76">
      <w:pPr>
        <w:pStyle w:val="Heading9"/>
      </w:pPr>
      <w:bookmarkStart w:id="435" w:name="_Toc451532680"/>
      <w:bookmarkStart w:id="436" w:name="_Toc487531439"/>
      <w:bookmarkStart w:id="437" w:name="_Toc527986742"/>
      <w:bookmarkStart w:id="438" w:name="_Toc67666497"/>
      <w:bookmarkStart w:id="439" w:name="_Toc67667104"/>
      <w:bookmarkStart w:id="440" w:name="_Toc69827371"/>
      <w:bookmarkStart w:id="441" w:name="_Toc197337094"/>
      <w:r w:rsidRPr="00F54712">
        <w:t>Annex:</w:t>
      </w:r>
      <w:r w:rsidRPr="00F54712">
        <w:br/>
        <w:t xml:space="preserve">Change </w:t>
      </w:r>
      <w:bookmarkEnd w:id="435"/>
      <w:bookmarkEnd w:id="436"/>
      <w:bookmarkEnd w:id="437"/>
      <w:bookmarkEnd w:id="438"/>
      <w:bookmarkEnd w:id="439"/>
      <w:bookmarkEnd w:id="440"/>
      <w:r w:rsidR="004464A7">
        <w:t>h</w:t>
      </w:r>
      <w:r w:rsidR="004464A7" w:rsidRPr="00F54712">
        <w:t>istory</w:t>
      </w:r>
      <w:bookmarkEnd w:id="44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1B7A76" w:rsidRPr="00F54712" w14:paraId="41DF979F" w14:textId="77777777" w:rsidTr="006F4FED">
        <w:trPr>
          <w:tblHeader/>
          <w:jc w:val="center"/>
        </w:trPr>
        <w:tc>
          <w:tcPr>
            <w:tcW w:w="1566" w:type="dxa"/>
            <w:shd w:val="pct10" w:color="auto" w:fill="auto"/>
            <w:vAlign w:val="center"/>
          </w:tcPr>
          <w:p w14:paraId="6BA0D9B2" w14:textId="77777777" w:rsidR="001B7A76" w:rsidRPr="00F54712" w:rsidRDefault="001B7A76" w:rsidP="006F4FED">
            <w:pPr>
              <w:pStyle w:val="TAH"/>
            </w:pPr>
            <w:r w:rsidRPr="00F54712">
              <w:t>Date</w:t>
            </w:r>
          </w:p>
        </w:tc>
        <w:tc>
          <w:tcPr>
            <w:tcW w:w="810" w:type="dxa"/>
            <w:shd w:val="pct10" w:color="auto" w:fill="auto"/>
            <w:vAlign w:val="center"/>
          </w:tcPr>
          <w:p w14:paraId="14CC6F10" w14:textId="77777777" w:rsidR="001B7A76" w:rsidRPr="00F54712" w:rsidRDefault="001B7A76" w:rsidP="006F4FED">
            <w:pPr>
              <w:pStyle w:val="TAH"/>
            </w:pPr>
            <w:r w:rsidRPr="00F54712">
              <w:t>Version</w:t>
            </w:r>
          </w:p>
        </w:tc>
        <w:tc>
          <w:tcPr>
            <w:tcW w:w="7194" w:type="dxa"/>
            <w:shd w:val="pct10" w:color="auto" w:fill="auto"/>
            <w:vAlign w:val="center"/>
          </w:tcPr>
          <w:p w14:paraId="01CD73C9" w14:textId="77777777" w:rsidR="001B7A76" w:rsidRPr="00F54712" w:rsidRDefault="001B7A76" w:rsidP="006F4FED">
            <w:pPr>
              <w:pStyle w:val="TAH"/>
            </w:pPr>
            <w:r w:rsidRPr="00F54712">
              <w:t>Information about changes</w:t>
            </w:r>
          </w:p>
        </w:tc>
      </w:tr>
      <w:tr w:rsidR="009A00D6" w:rsidRPr="00F72149" w14:paraId="4EBEAC97" w14:textId="77777777" w:rsidTr="00612186">
        <w:trPr>
          <w:jc w:val="center"/>
        </w:trPr>
        <w:tc>
          <w:tcPr>
            <w:tcW w:w="1566" w:type="dxa"/>
            <w:vAlign w:val="center"/>
          </w:tcPr>
          <w:p w14:paraId="39C8920B" w14:textId="77777777" w:rsidR="009A00D6" w:rsidRPr="00F72149" w:rsidRDefault="009A00D6" w:rsidP="00612186">
            <w:pPr>
              <w:pStyle w:val="TAL"/>
            </w:pPr>
            <w:r>
              <w:t>&lt;Month year&gt;</w:t>
            </w:r>
          </w:p>
        </w:tc>
        <w:tc>
          <w:tcPr>
            <w:tcW w:w="810" w:type="dxa"/>
            <w:vAlign w:val="center"/>
          </w:tcPr>
          <w:p w14:paraId="5E979453" w14:textId="77777777" w:rsidR="009A00D6" w:rsidRPr="00F72149" w:rsidRDefault="009A00D6" w:rsidP="00612186">
            <w:pPr>
              <w:pStyle w:val="TAC"/>
            </w:pPr>
            <w:r>
              <w:t>&lt;#&gt;</w:t>
            </w:r>
          </w:p>
        </w:tc>
        <w:tc>
          <w:tcPr>
            <w:tcW w:w="7194" w:type="dxa"/>
            <w:vAlign w:val="center"/>
          </w:tcPr>
          <w:p w14:paraId="7822164E" w14:textId="77777777" w:rsidR="009A00D6" w:rsidRPr="00F72149" w:rsidRDefault="009A00D6" w:rsidP="00612186">
            <w:pPr>
              <w:pStyle w:val="TAL"/>
            </w:pPr>
            <w:r>
              <w:t>&lt;Changes made are listed in this cell&gt;</w:t>
            </w:r>
          </w:p>
        </w:tc>
      </w:tr>
      <w:tr w:rsidR="001B7A76" w:rsidRPr="00F54712" w14:paraId="7F70C3F8" w14:textId="77777777" w:rsidTr="006F4FED">
        <w:trPr>
          <w:jc w:val="center"/>
        </w:trPr>
        <w:tc>
          <w:tcPr>
            <w:tcW w:w="1566" w:type="dxa"/>
            <w:vAlign w:val="center"/>
          </w:tcPr>
          <w:p w14:paraId="03EFF93F" w14:textId="77777777" w:rsidR="001B7A76" w:rsidRPr="00F54712" w:rsidRDefault="001B7A76" w:rsidP="006F4FED">
            <w:pPr>
              <w:pStyle w:val="TAL"/>
            </w:pPr>
          </w:p>
        </w:tc>
        <w:tc>
          <w:tcPr>
            <w:tcW w:w="810" w:type="dxa"/>
            <w:vAlign w:val="center"/>
          </w:tcPr>
          <w:p w14:paraId="283997F1" w14:textId="77777777" w:rsidR="001B7A76" w:rsidRPr="00F54712" w:rsidRDefault="001B7A76" w:rsidP="006F4FED">
            <w:pPr>
              <w:pStyle w:val="TAC"/>
            </w:pPr>
          </w:p>
        </w:tc>
        <w:tc>
          <w:tcPr>
            <w:tcW w:w="7194" w:type="dxa"/>
            <w:vAlign w:val="center"/>
          </w:tcPr>
          <w:p w14:paraId="4486B8EA" w14:textId="77777777" w:rsidR="001B7A76" w:rsidRPr="00F54712" w:rsidRDefault="001B7A76" w:rsidP="006F4FED">
            <w:pPr>
              <w:pStyle w:val="TAL"/>
            </w:pPr>
          </w:p>
        </w:tc>
      </w:tr>
      <w:tr w:rsidR="001B7A76" w:rsidRPr="00F54712" w14:paraId="7B1BB948" w14:textId="77777777" w:rsidTr="006F4FED">
        <w:trPr>
          <w:jc w:val="center"/>
        </w:trPr>
        <w:tc>
          <w:tcPr>
            <w:tcW w:w="1566" w:type="dxa"/>
            <w:vAlign w:val="center"/>
          </w:tcPr>
          <w:p w14:paraId="241AEE91" w14:textId="77777777" w:rsidR="001B7A76" w:rsidRPr="00F54712" w:rsidRDefault="001B7A76" w:rsidP="006F4FED">
            <w:pPr>
              <w:pStyle w:val="TAL"/>
            </w:pPr>
          </w:p>
        </w:tc>
        <w:tc>
          <w:tcPr>
            <w:tcW w:w="810" w:type="dxa"/>
            <w:vAlign w:val="center"/>
          </w:tcPr>
          <w:p w14:paraId="383EF2B0" w14:textId="77777777" w:rsidR="001B7A76" w:rsidRPr="00F54712" w:rsidRDefault="001B7A76" w:rsidP="006F4FED">
            <w:pPr>
              <w:pStyle w:val="TAC"/>
            </w:pPr>
          </w:p>
        </w:tc>
        <w:tc>
          <w:tcPr>
            <w:tcW w:w="7194" w:type="dxa"/>
            <w:vAlign w:val="center"/>
          </w:tcPr>
          <w:p w14:paraId="61F124C0" w14:textId="77777777" w:rsidR="001B7A76" w:rsidRPr="00F54712" w:rsidRDefault="001B7A76" w:rsidP="006F4FED">
            <w:pPr>
              <w:pStyle w:val="TAL"/>
            </w:pPr>
          </w:p>
        </w:tc>
      </w:tr>
      <w:tr w:rsidR="001B7A76" w:rsidRPr="00F54712" w14:paraId="01E351AD" w14:textId="77777777" w:rsidTr="006F4FED">
        <w:trPr>
          <w:jc w:val="center"/>
        </w:trPr>
        <w:tc>
          <w:tcPr>
            <w:tcW w:w="1566" w:type="dxa"/>
            <w:vAlign w:val="center"/>
          </w:tcPr>
          <w:p w14:paraId="719FEFB2" w14:textId="77777777" w:rsidR="001B7A76" w:rsidRPr="00F54712" w:rsidRDefault="001B7A76" w:rsidP="006F4FED">
            <w:pPr>
              <w:pStyle w:val="TAL"/>
            </w:pPr>
          </w:p>
        </w:tc>
        <w:tc>
          <w:tcPr>
            <w:tcW w:w="810" w:type="dxa"/>
            <w:vAlign w:val="center"/>
          </w:tcPr>
          <w:p w14:paraId="1FBB7946" w14:textId="77777777" w:rsidR="001B7A76" w:rsidRPr="00F54712" w:rsidRDefault="001B7A76" w:rsidP="006F4FED">
            <w:pPr>
              <w:pStyle w:val="TAC"/>
            </w:pPr>
          </w:p>
        </w:tc>
        <w:tc>
          <w:tcPr>
            <w:tcW w:w="7194" w:type="dxa"/>
            <w:vAlign w:val="center"/>
          </w:tcPr>
          <w:p w14:paraId="762844C6" w14:textId="77777777" w:rsidR="001B7A76" w:rsidRPr="00F54712" w:rsidRDefault="001B7A76" w:rsidP="006F4FED">
            <w:pPr>
              <w:pStyle w:val="TAL"/>
            </w:pPr>
          </w:p>
        </w:tc>
      </w:tr>
    </w:tbl>
    <w:p w14:paraId="08C10323" w14:textId="77777777" w:rsidR="001B7A76" w:rsidRPr="00F54712" w:rsidRDefault="001B7A76" w:rsidP="001B7A76"/>
    <w:p w14:paraId="6FA20C6A" w14:textId="77777777" w:rsidR="009A00D6" w:rsidRDefault="009A00D6">
      <w:pPr>
        <w:overflowPunct/>
        <w:autoSpaceDE/>
        <w:autoSpaceDN/>
        <w:adjustRightInd/>
        <w:spacing w:after="0"/>
        <w:textAlignment w:val="auto"/>
      </w:pPr>
      <w:r>
        <w:br w:type="page"/>
      </w:r>
    </w:p>
    <w:p w14:paraId="36C31FE8" w14:textId="77777777" w:rsidR="00070988" w:rsidRDefault="00BB6418" w:rsidP="009A00D6">
      <w:pPr>
        <w:pStyle w:val="Heading1"/>
      </w:pPr>
      <w:bookmarkStart w:id="442" w:name="_Toc451532681"/>
      <w:bookmarkStart w:id="443" w:name="_Toc487531440"/>
      <w:bookmarkStart w:id="444" w:name="_Toc527986743"/>
      <w:bookmarkStart w:id="445" w:name="_Toc67666498"/>
      <w:bookmarkStart w:id="446" w:name="_Toc67667105"/>
      <w:bookmarkStart w:id="447" w:name="_Toc69827372"/>
      <w:bookmarkStart w:id="448" w:name="_Toc197337095"/>
      <w:r w:rsidRPr="00F54712">
        <w:t>History</w:t>
      </w:r>
      <w:bookmarkEnd w:id="442"/>
      <w:bookmarkEnd w:id="443"/>
      <w:bookmarkEnd w:id="444"/>
      <w:bookmarkEnd w:id="445"/>
      <w:bookmarkEnd w:id="446"/>
      <w:bookmarkEnd w:id="447"/>
      <w:bookmarkEnd w:id="448"/>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247"/>
        <w:gridCol w:w="1588"/>
        <w:gridCol w:w="6804"/>
      </w:tblGrid>
      <w:tr w:rsidR="00E05319" w:rsidRPr="00F54712" w14:paraId="39670544" w14:textId="77777777" w:rsidTr="00E07F2C">
        <w:trPr>
          <w:cantSplit/>
          <w:jc w:val="center"/>
        </w:trPr>
        <w:tc>
          <w:tcPr>
            <w:tcW w:w="9639" w:type="dxa"/>
            <w:gridSpan w:val="3"/>
            <w:hideMark/>
          </w:tcPr>
          <w:p w14:paraId="76ABD714" w14:textId="77777777" w:rsidR="00E05319" w:rsidRPr="00F54712" w:rsidRDefault="00E05319">
            <w:pPr>
              <w:keepNext/>
              <w:spacing w:before="60" w:after="60"/>
              <w:jc w:val="center"/>
              <w:rPr>
                <w:b/>
                <w:sz w:val="24"/>
              </w:rPr>
            </w:pPr>
            <w:r w:rsidRPr="00F54712">
              <w:rPr>
                <w:b/>
                <w:sz w:val="24"/>
              </w:rPr>
              <w:t>Document history</w:t>
            </w:r>
          </w:p>
        </w:tc>
      </w:tr>
      <w:tr w:rsidR="00E05319" w:rsidRPr="00F54712" w14:paraId="70591D3D" w14:textId="77777777" w:rsidTr="00E07F2C">
        <w:trPr>
          <w:cantSplit/>
          <w:jc w:val="center"/>
        </w:trPr>
        <w:tc>
          <w:tcPr>
            <w:tcW w:w="1247" w:type="dxa"/>
            <w:hideMark/>
          </w:tcPr>
          <w:p w14:paraId="4041C3DD" w14:textId="77777777" w:rsidR="00E05319" w:rsidRPr="00F54712" w:rsidRDefault="00E05319">
            <w:pPr>
              <w:pStyle w:val="FP"/>
              <w:keepNext/>
              <w:spacing w:before="80" w:after="80"/>
              <w:ind w:left="57"/>
            </w:pPr>
            <w:r w:rsidRPr="00F54712">
              <w:t>&lt;Version&gt;</w:t>
            </w:r>
          </w:p>
        </w:tc>
        <w:tc>
          <w:tcPr>
            <w:tcW w:w="1588" w:type="dxa"/>
            <w:hideMark/>
          </w:tcPr>
          <w:p w14:paraId="3603DE09" w14:textId="77777777" w:rsidR="00E05319" w:rsidRPr="00F54712" w:rsidRDefault="00E05319">
            <w:pPr>
              <w:pStyle w:val="FP"/>
              <w:keepNext/>
              <w:spacing w:before="80" w:after="80"/>
              <w:ind w:left="57"/>
            </w:pPr>
            <w:r w:rsidRPr="00F54712">
              <w:t>&lt;Date&gt;</w:t>
            </w:r>
          </w:p>
        </w:tc>
        <w:tc>
          <w:tcPr>
            <w:tcW w:w="6804" w:type="dxa"/>
            <w:hideMark/>
          </w:tcPr>
          <w:p w14:paraId="4D69D68F" w14:textId="77777777" w:rsidR="00E05319" w:rsidRPr="00F54712" w:rsidRDefault="00E05319">
            <w:pPr>
              <w:pStyle w:val="FP"/>
              <w:keepNext/>
              <w:tabs>
                <w:tab w:val="left" w:pos="3118"/>
              </w:tabs>
              <w:spacing w:before="80" w:after="80"/>
              <w:ind w:left="57"/>
            </w:pPr>
            <w:r w:rsidRPr="00F54712">
              <w:t>&lt;Milestone&gt;</w:t>
            </w:r>
          </w:p>
        </w:tc>
      </w:tr>
      <w:tr w:rsidR="00E05319" w:rsidRPr="00F54712" w14:paraId="41840B00" w14:textId="77777777" w:rsidTr="00E07F2C">
        <w:trPr>
          <w:cantSplit/>
          <w:jc w:val="center"/>
        </w:trPr>
        <w:tc>
          <w:tcPr>
            <w:tcW w:w="1247" w:type="dxa"/>
          </w:tcPr>
          <w:p w14:paraId="25C39F94" w14:textId="77777777" w:rsidR="00E05319" w:rsidRPr="00F54712" w:rsidRDefault="00E05319">
            <w:pPr>
              <w:pStyle w:val="FP"/>
              <w:keepNext/>
              <w:spacing w:before="80" w:after="80"/>
              <w:ind w:left="57"/>
            </w:pPr>
          </w:p>
        </w:tc>
        <w:tc>
          <w:tcPr>
            <w:tcW w:w="1588" w:type="dxa"/>
          </w:tcPr>
          <w:p w14:paraId="5CCDB254" w14:textId="77777777" w:rsidR="00E05319" w:rsidRPr="00F54712" w:rsidRDefault="00E05319">
            <w:pPr>
              <w:pStyle w:val="FP"/>
              <w:keepNext/>
              <w:spacing w:before="80" w:after="80"/>
              <w:ind w:left="57"/>
            </w:pPr>
          </w:p>
        </w:tc>
        <w:tc>
          <w:tcPr>
            <w:tcW w:w="6804" w:type="dxa"/>
          </w:tcPr>
          <w:p w14:paraId="5A3F17E1" w14:textId="77777777" w:rsidR="00E05319" w:rsidRPr="00F54712" w:rsidRDefault="00E05319">
            <w:pPr>
              <w:pStyle w:val="FP"/>
              <w:keepNext/>
              <w:tabs>
                <w:tab w:val="left" w:pos="3118"/>
              </w:tabs>
              <w:spacing w:before="80" w:after="80"/>
              <w:ind w:left="57"/>
            </w:pPr>
          </w:p>
        </w:tc>
      </w:tr>
      <w:tr w:rsidR="00E05319" w:rsidRPr="00F54712" w14:paraId="70CD9AE0" w14:textId="77777777" w:rsidTr="00E07F2C">
        <w:trPr>
          <w:cantSplit/>
          <w:jc w:val="center"/>
        </w:trPr>
        <w:tc>
          <w:tcPr>
            <w:tcW w:w="1247" w:type="dxa"/>
          </w:tcPr>
          <w:p w14:paraId="01A6C6EF" w14:textId="77777777" w:rsidR="00E05319" w:rsidRPr="00F54712" w:rsidRDefault="00E05319">
            <w:pPr>
              <w:pStyle w:val="FP"/>
              <w:keepNext/>
              <w:spacing w:before="80" w:after="80"/>
              <w:ind w:left="57"/>
            </w:pPr>
          </w:p>
        </w:tc>
        <w:tc>
          <w:tcPr>
            <w:tcW w:w="1588" w:type="dxa"/>
          </w:tcPr>
          <w:p w14:paraId="762A80AF" w14:textId="77777777" w:rsidR="00E05319" w:rsidRPr="00F54712" w:rsidRDefault="00E05319">
            <w:pPr>
              <w:pStyle w:val="FP"/>
              <w:keepNext/>
              <w:spacing w:before="80" w:after="80"/>
              <w:ind w:left="57"/>
            </w:pPr>
          </w:p>
        </w:tc>
        <w:tc>
          <w:tcPr>
            <w:tcW w:w="6804" w:type="dxa"/>
          </w:tcPr>
          <w:p w14:paraId="5797ACD0" w14:textId="77777777" w:rsidR="00E05319" w:rsidRPr="00F54712" w:rsidRDefault="00E05319">
            <w:pPr>
              <w:pStyle w:val="FP"/>
              <w:keepNext/>
              <w:tabs>
                <w:tab w:val="left" w:pos="3261"/>
                <w:tab w:val="left" w:pos="4395"/>
              </w:tabs>
              <w:spacing w:before="80" w:after="80"/>
              <w:ind w:left="57"/>
            </w:pPr>
          </w:p>
        </w:tc>
      </w:tr>
      <w:tr w:rsidR="00E05319" w:rsidRPr="00F54712" w14:paraId="19B64208" w14:textId="77777777" w:rsidTr="00E07F2C">
        <w:trPr>
          <w:cantSplit/>
          <w:jc w:val="center"/>
        </w:trPr>
        <w:tc>
          <w:tcPr>
            <w:tcW w:w="1247" w:type="dxa"/>
          </w:tcPr>
          <w:p w14:paraId="1ABB721F" w14:textId="77777777" w:rsidR="00E05319" w:rsidRPr="00F54712" w:rsidRDefault="00E05319">
            <w:pPr>
              <w:pStyle w:val="FP"/>
              <w:spacing w:before="80" w:after="80"/>
              <w:ind w:left="57"/>
            </w:pPr>
          </w:p>
        </w:tc>
        <w:tc>
          <w:tcPr>
            <w:tcW w:w="1588" w:type="dxa"/>
          </w:tcPr>
          <w:p w14:paraId="2415D4B9" w14:textId="77777777" w:rsidR="00E05319" w:rsidRPr="00F54712" w:rsidRDefault="00E05319">
            <w:pPr>
              <w:pStyle w:val="FP"/>
              <w:spacing w:before="80" w:after="80"/>
              <w:ind w:left="57"/>
            </w:pPr>
          </w:p>
        </w:tc>
        <w:tc>
          <w:tcPr>
            <w:tcW w:w="6804" w:type="dxa"/>
          </w:tcPr>
          <w:p w14:paraId="748E7F4A" w14:textId="77777777" w:rsidR="00E05319" w:rsidRPr="00F54712" w:rsidRDefault="00E05319">
            <w:pPr>
              <w:pStyle w:val="FP"/>
              <w:tabs>
                <w:tab w:val="left" w:pos="3261"/>
                <w:tab w:val="left" w:pos="4395"/>
              </w:tabs>
              <w:spacing w:before="80" w:after="80"/>
              <w:ind w:left="57"/>
            </w:pPr>
          </w:p>
        </w:tc>
      </w:tr>
      <w:tr w:rsidR="00E05319" w:rsidRPr="00F54712" w14:paraId="0F1E1FB1" w14:textId="77777777" w:rsidTr="00E07F2C">
        <w:trPr>
          <w:cantSplit/>
          <w:jc w:val="center"/>
        </w:trPr>
        <w:tc>
          <w:tcPr>
            <w:tcW w:w="1247" w:type="dxa"/>
          </w:tcPr>
          <w:p w14:paraId="000FE209" w14:textId="77777777" w:rsidR="00E05319" w:rsidRPr="00F54712" w:rsidRDefault="00E05319">
            <w:pPr>
              <w:pStyle w:val="FP"/>
              <w:spacing w:before="80" w:after="80"/>
              <w:ind w:left="57"/>
            </w:pPr>
          </w:p>
        </w:tc>
        <w:tc>
          <w:tcPr>
            <w:tcW w:w="1588" w:type="dxa"/>
          </w:tcPr>
          <w:p w14:paraId="7C5F1E6D" w14:textId="77777777" w:rsidR="00E05319" w:rsidRPr="00F54712" w:rsidRDefault="00E05319">
            <w:pPr>
              <w:pStyle w:val="FP"/>
              <w:spacing w:before="80" w:after="80"/>
              <w:ind w:left="57"/>
            </w:pPr>
          </w:p>
        </w:tc>
        <w:tc>
          <w:tcPr>
            <w:tcW w:w="6804" w:type="dxa"/>
          </w:tcPr>
          <w:p w14:paraId="681F2D6A" w14:textId="77777777" w:rsidR="00E05319" w:rsidRPr="00F54712" w:rsidRDefault="00E05319">
            <w:pPr>
              <w:pStyle w:val="FP"/>
              <w:tabs>
                <w:tab w:val="left" w:pos="3261"/>
                <w:tab w:val="left" w:pos="4395"/>
              </w:tabs>
              <w:spacing w:before="80" w:after="80"/>
              <w:ind w:left="57"/>
            </w:pPr>
          </w:p>
        </w:tc>
      </w:tr>
    </w:tbl>
    <w:p w14:paraId="11B27729" w14:textId="77777777" w:rsidR="00E05319" w:rsidRPr="00F54712" w:rsidRDefault="00E05319" w:rsidP="00E05319"/>
    <w:p w14:paraId="069219AB" w14:textId="452FE05A" w:rsidR="00E05319" w:rsidRPr="00F54712" w:rsidRDefault="000024A1" w:rsidP="00172200">
      <w:pPr>
        <w:rPr>
          <w:rFonts w:ascii="Arial" w:hAnsi="Arial" w:cs="Arial"/>
          <w:i/>
          <w:color w:val="76923C"/>
          <w:sz w:val="18"/>
          <w:szCs w:val="18"/>
        </w:rPr>
      </w:pPr>
      <w:r>
        <w:rPr>
          <w:rFonts w:ascii="Arial" w:hAnsi="Arial" w:cs="Arial"/>
          <w:i/>
          <w:color w:val="76923C"/>
          <w:sz w:val="18"/>
          <w:szCs w:val="18"/>
        </w:rPr>
        <w:t xml:space="preserve">Latest changes made on </w:t>
      </w:r>
      <w:r w:rsidR="004464A7">
        <w:rPr>
          <w:rFonts w:ascii="Arial" w:hAnsi="Arial" w:cs="Arial"/>
          <w:i/>
          <w:color w:val="76923C"/>
          <w:sz w:val="18"/>
          <w:szCs w:val="18"/>
        </w:rPr>
        <w:t>2023</w:t>
      </w:r>
      <w:r w:rsidR="003420EA">
        <w:rPr>
          <w:rFonts w:ascii="Arial" w:hAnsi="Arial" w:cs="Arial"/>
          <w:i/>
          <w:color w:val="76923C"/>
          <w:sz w:val="18"/>
          <w:szCs w:val="18"/>
        </w:rPr>
        <w:t>-</w:t>
      </w:r>
      <w:r w:rsidR="004464A7">
        <w:rPr>
          <w:rFonts w:ascii="Arial" w:hAnsi="Arial" w:cs="Arial"/>
          <w:i/>
          <w:color w:val="76923C"/>
          <w:sz w:val="18"/>
          <w:szCs w:val="18"/>
        </w:rPr>
        <w:t>04</w:t>
      </w:r>
      <w:r w:rsidR="0039719E">
        <w:rPr>
          <w:rFonts w:ascii="Arial" w:hAnsi="Arial" w:cs="Arial"/>
          <w:i/>
          <w:color w:val="76923C"/>
          <w:sz w:val="18"/>
          <w:szCs w:val="18"/>
        </w:rPr>
        <w:t>-</w:t>
      </w:r>
      <w:r w:rsidR="004464A7">
        <w:rPr>
          <w:rFonts w:ascii="Arial" w:hAnsi="Arial" w:cs="Arial"/>
          <w:i/>
          <w:color w:val="76923C"/>
          <w:sz w:val="18"/>
          <w:szCs w:val="18"/>
        </w:rPr>
        <w:t>20</w:t>
      </w:r>
    </w:p>
    <w:sectPr w:rsidR="00E05319" w:rsidRPr="00F54712">
      <w:headerReference w:type="default" r:id="rId75"/>
      <w:footerReference w:type="default" r:id="rId76"/>
      <w:footnotePr>
        <w:numRestart w:val="eachSect"/>
      </w:footnotePr>
      <w:pgSz w:w="11907" w:h="16840"/>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AD919D" w14:textId="77777777" w:rsidR="00C86862" w:rsidRDefault="00C86862">
      <w:r>
        <w:separator/>
      </w:r>
    </w:p>
  </w:endnote>
  <w:endnote w:type="continuationSeparator" w:id="0">
    <w:p w14:paraId="617A4ACA" w14:textId="77777777" w:rsidR="00C86862" w:rsidRDefault="00C86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65B6F" w14:textId="77777777" w:rsidR="003153A7" w:rsidRDefault="003153A7">
    <w:pPr>
      <w:pStyle w:val="Footer"/>
    </w:pPr>
  </w:p>
  <w:p w14:paraId="730E9B45" w14:textId="77777777" w:rsidR="003153A7" w:rsidRDefault="003153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CD8B88" w14:textId="77777777" w:rsidR="003153A7" w:rsidRDefault="003153A7">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2169E0" w14:textId="77777777" w:rsidR="00C86862" w:rsidRDefault="00C86862">
      <w:r>
        <w:separator/>
      </w:r>
    </w:p>
  </w:footnote>
  <w:footnote w:type="continuationSeparator" w:id="0">
    <w:p w14:paraId="36862BCF" w14:textId="77777777" w:rsidR="00C86862" w:rsidRDefault="00C868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EEA7A" w14:textId="77777777" w:rsidR="003153A7" w:rsidRDefault="003153A7">
    <w:pPr>
      <w:pStyle w:val="Header"/>
    </w:pPr>
    <w:r>
      <w:rPr>
        <w:lang w:val="it-IT" w:eastAsia="it-IT"/>
      </w:rPr>
      <w:drawing>
        <wp:anchor distT="0" distB="0" distL="114300" distR="114300" simplePos="0" relativeHeight="251657728" behindDoc="1" locked="0" layoutInCell="1" allowOverlap="1" wp14:anchorId="2B644FEA" wp14:editId="425A9887">
          <wp:simplePos x="0" y="0"/>
          <wp:positionH relativeFrom="column">
            <wp:posOffset>-100965</wp:posOffset>
          </wp:positionH>
          <wp:positionV relativeFrom="paragraph">
            <wp:posOffset>998220</wp:posOffset>
          </wp:positionV>
          <wp:extent cx="6607810" cy="2876550"/>
          <wp:effectExtent l="0" t="0" r="2540" b="0"/>
          <wp:wrapNone/>
          <wp:docPr id="2" name="Picture 2"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SI_BG_final_new"/>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07810" cy="28765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C8129" w14:textId="0631B7AD" w:rsidR="003153A7" w:rsidRDefault="003153A7">
    <w:pPr>
      <w:pStyle w:val="Header"/>
      <w:framePr w:wrap="auto" w:vAnchor="text" w:hAnchor="margin" w:xAlign="right" w:y="1"/>
    </w:pPr>
    <w:r>
      <w:fldChar w:fldCharType="begin"/>
    </w:r>
    <w:r>
      <w:instrText xml:space="preserve">styleref ZA </w:instrText>
    </w:r>
    <w:r>
      <w:fldChar w:fldCharType="separate"/>
    </w:r>
    <w:r w:rsidR="00F52C92">
      <w:t>ETSI TR 104 073 V0.0.7 (2025-05)</w:t>
    </w:r>
    <w:r>
      <w:fldChar w:fldCharType="end"/>
    </w:r>
  </w:p>
  <w:p w14:paraId="3F73D2AB" w14:textId="1E0CFB15" w:rsidR="003153A7" w:rsidRDefault="003153A7">
    <w:pPr>
      <w:pStyle w:val="Header"/>
      <w:framePr w:wrap="auto" w:vAnchor="text" w:hAnchor="margin" w:xAlign="center" w:y="1"/>
    </w:pPr>
    <w:r>
      <w:fldChar w:fldCharType="begin"/>
    </w:r>
    <w:r>
      <w:instrText xml:space="preserve">page </w:instrText>
    </w:r>
    <w:r>
      <w:fldChar w:fldCharType="separate"/>
    </w:r>
    <w:r w:rsidR="00DB7D33">
      <w:t>29</w:t>
    </w:r>
    <w:r>
      <w:fldChar w:fldCharType="end"/>
    </w:r>
  </w:p>
  <w:p w14:paraId="5965BC9E" w14:textId="75E046D0" w:rsidR="003153A7" w:rsidRDefault="003153A7" w:rsidP="00723D0A">
    <w:pPr>
      <w:pStyle w:val="Header"/>
      <w:framePr w:wrap="auto" w:vAnchor="text" w:hAnchor="margin" w:y="1"/>
    </w:pPr>
    <w:r>
      <w:fldChar w:fldCharType="begin"/>
    </w:r>
    <w:r>
      <w:instrText xml:space="preserve">styleref ZGSM </w:instrText>
    </w:r>
    <w:r>
      <w:fldChar w:fldCharType="separate"/>
    </w:r>
    <w:r w:rsidR="00F52C92">
      <w:rPr>
        <w:b w:val="0"/>
        <w:bCs/>
        <w:lang w:val="en-US"/>
      </w:rPr>
      <w:t>Error! No text of specified style in document.</w:t>
    </w:r>
    <w:r>
      <w:fldChar w:fldCharType="end"/>
    </w:r>
  </w:p>
  <w:p w14:paraId="2F01D2B7" w14:textId="77777777" w:rsidR="003153A7" w:rsidRDefault="003153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245D9"/>
    <w:multiLevelType w:val="hybridMultilevel"/>
    <w:tmpl w:val="A32ECF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7B13586"/>
    <w:multiLevelType w:val="hybridMultilevel"/>
    <w:tmpl w:val="2A767A18"/>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9D67E1E"/>
    <w:multiLevelType w:val="multilevel"/>
    <w:tmpl w:val="0ED8F0C2"/>
    <w:lvl w:ilvl="0">
      <w:start w:val="1"/>
      <w:numFmt w:val="bullet"/>
      <w:lvlText w:val=""/>
      <w:lvlJc w:val="left"/>
      <w:pPr>
        <w:ind w:left="644" w:hanging="360"/>
      </w:pPr>
      <w:rPr>
        <w:rFonts w:ascii="Symbol" w:hAnsi="Symbol"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5AA4736"/>
    <w:multiLevelType w:val="hybridMultilevel"/>
    <w:tmpl w:val="571E6B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1699116B"/>
    <w:multiLevelType w:val="multilevel"/>
    <w:tmpl w:val="F5489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8070E0"/>
    <w:multiLevelType w:val="multilevel"/>
    <w:tmpl w:val="D0527CAC"/>
    <w:lvl w:ilvl="0">
      <w:start w:val="1"/>
      <w:numFmt w:val="decimal"/>
      <w:lvlText w:val="%1"/>
      <w:lvlJc w:val="left"/>
      <w:pPr>
        <w:ind w:left="1500" w:hanging="1140"/>
      </w:pPr>
      <w:rPr>
        <w:rFonts w:hint="default"/>
      </w:rPr>
    </w:lvl>
    <w:lvl w:ilvl="1">
      <w:start w:val="1"/>
      <w:numFmt w:val="decimal"/>
      <w:isLgl/>
      <w:lvlText w:val="%1.%2"/>
      <w:lvlJc w:val="left"/>
      <w:pPr>
        <w:ind w:left="1991" w:hanging="1140"/>
      </w:pPr>
      <w:rPr>
        <w:rFonts w:hint="default"/>
      </w:rPr>
    </w:lvl>
    <w:lvl w:ilvl="2">
      <w:start w:val="1"/>
      <w:numFmt w:val="decimal"/>
      <w:isLgl/>
      <w:lvlText w:val="%1.%2.%3"/>
      <w:lvlJc w:val="left"/>
      <w:pPr>
        <w:ind w:left="3692"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0" w15:restartNumberingAfterBreak="0">
    <w:nsid w:val="1AC0614E"/>
    <w:multiLevelType w:val="hybridMultilevel"/>
    <w:tmpl w:val="3FE21594"/>
    <w:lvl w:ilvl="0" w:tplc="04100001">
      <w:start w:val="1"/>
      <w:numFmt w:val="bullet"/>
      <w:lvlText w:val=""/>
      <w:lvlJc w:val="left"/>
      <w:pPr>
        <w:ind w:left="720" w:hanging="360"/>
      </w:pPr>
      <w:rPr>
        <w:rFonts w:ascii="Symbol" w:hAnsi="Symbol"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1E2A7479"/>
    <w:multiLevelType w:val="hybridMultilevel"/>
    <w:tmpl w:val="2A2C5E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DE05B7"/>
    <w:multiLevelType w:val="hybridMultilevel"/>
    <w:tmpl w:val="FDD69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4A4362C"/>
    <w:multiLevelType w:val="hybridMultilevel"/>
    <w:tmpl w:val="3E909C62"/>
    <w:lvl w:ilvl="0" w:tplc="0410000F">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8512E3F"/>
    <w:multiLevelType w:val="hybridMultilevel"/>
    <w:tmpl w:val="DD7674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AA15F3E"/>
    <w:multiLevelType w:val="hybridMultilevel"/>
    <w:tmpl w:val="1CD210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AE92AAD"/>
    <w:multiLevelType w:val="multilevel"/>
    <w:tmpl w:val="0ED8F0C2"/>
    <w:lvl w:ilvl="0">
      <w:start w:val="1"/>
      <w:numFmt w:val="bullet"/>
      <w:lvlText w:val=""/>
      <w:lvlJc w:val="left"/>
      <w:pPr>
        <w:ind w:left="644" w:hanging="360"/>
      </w:pPr>
      <w:rPr>
        <w:rFonts w:ascii="Symbol" w:hAnsi="Symbol" w:hint="default"/>
      </w:r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9" w15:restartNumberingAfterBreak="0">
    <w:nsid w:val="44496DC7"/>
    <w:multiLevelType w:val="hybridMultilevel"/>
    <w:tmpl w:val="6DB8B8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4F81E70"/>
    <w:multiLevelType w:val="hybridMultilevel"/>
    <w:tmpl w:val="C1D0FA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6476737"/>
    <w:multiLevelType w:val="hybridMultilevel"/>
    <w:tmpl w:val="F7F891E6"/>
    <w:lvl w:ilvl="0" w:tplc="2B22FC7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6916821"/>
    <w:multiLevelType w:val="hybridMultilevel"/>
    <w:tmpl w:val="00041050"/>
    <w:lvl w:ilvl="0" w:tplc="04100001">
      <w:start w:val="1"/>
      <w:numFmt w:val="bullet"/>
      <w:lvlText w:val=""/>
      <w:lvlJc w:val="left"/>
      <w:pPr>
        <w:ind w:left="766" w:hanging="360"/>
      </w:pPr>
      <w:rPr>
        <w:rFonts w:ascii="Symbol" w:hAnsi="Symbol" w:hint="default"/>
      </w:rPr>
    </w:lvl>
    <w:lvl w:ilvl="1" w:tplc="04100003" w:tentative="1">
      <w:start w:val="1"/>
      <w:numFmt w:val="bullet"/>
      <w:lvlText w:val="o"/>
      <w:lvlJc w:val="left"/>
      <w:pPr>
        <w:ind w:left="1486" w:hanging="360"/>
      </w:pPr>
      <w:rPr>
        <w:rFonts w:ascii="Courier New" w:hAnsi="Courier New" w:cs="Courier New" w:hint="default"/>
      </w:rPr>
    </w:lvl>
    <w:lvl w:ilvl="2" w:tplc="04100005" w:tentative="1">
      <w:start w:val="1"/>
      <w:numFmt w:val="bullet"/>
      <w:lvlText w:val=""/>
      <w:lvlJc w:val="left"/>
      <w:pPr>
        <w:ind w:left="2206" w:hanging="360"/>
      </w:pPr>
      <w:rPr>
        <w:rFonts w:ascii="Wingdings" w:hAnsi="Wingdings" w:hint="default"/>
      </w:rPr>
    </w:lvl>
    <w:lvl w:ilvl="3" w:tplc="04100001" w:tentative="1">
      <w:start w:val="1"/>
      <w:numFmt w:val="bullet"/>
      <w:lvlText w:val=""/>
      <w:lvlJc w:val="left"/>
      <w:pPr>
        <w:ind w:left="2926" w:hanging="360"/>
      </w:pPr>
      <w:rPr>
        <w:rFonts w:ascii="Symbol" w:hAnsi="Symbol" w:hint="default"/>
      </w:rPr>
    </w:lvl>
    <w:lvl w:ilvl="4" w:tplc="04100003" w:tentative="1">
      <w:start w:val="1"/>
      <w:numFmt w:val="bullet"/>
      <w:lvlText w:val="o"/>
      <w:lvlJc w:val="left"/>
      <w:pPr>
        <w:ind w:left="3646" w:hanging="360"/>
      </w:pPr>
      <w:rPr>
        <w:rFonts w:ascii="Courier New" w:hAnsi="Courier New" w:cs="Courier New" w:hint="default"/>
      </w:rPr>
    </w:lvl>
    <w:lvl w:ilvl="5" w:tplc="04100005" w:tentative="1">
      <w:start w:val="1"/>
      <w:numFmt w:val="bullet"/>
      <w:lvlText w:val=""/>
      <w:lvlJc w:val="left"/>
      <w:pPr>
        <w:ind w:left="4366" w:hanging="360"/>
      </w:pPr>
      <w:rPr>
        <w:rFonts w:ascii="Wingdings" w:hAnsi="Wingdings" w:hint="default"/>
      </w:rPr>
    </w:lvl>
    <w:lvl w:ilvl="6" w:tplc="04100001" w:tentative="1">
      <w:start w:val="1"/>
      <w:numFmt w:val="bullet"/>
      <w:lvlText w:val=""/>
      <w:lvlJc w:val="left"/>
      <w:pPr>
        <w:ind w:left="5086" w:hanging="360"/>
      </w:pPr>
      <w:rPr>
        <w:rFonts w:ascii="Symbol" w:hAnsi="Symbol" w:hint="default"/>
      </w:rPr>
    </w:lvl>
    <w:lvl w:ilvl="7" w:tplc="04100003" w:tentative="1">
      <w:start w:val="1"/>
      <w:numFmt w:val="bullet"/>
      <w:lvlText w:val="o"/>
      <w:lvlJc w:val="left"/>
      <w:pPr>
        <w:ind w:left="5806" w:hanging="360"/>
      </w:pPr>
      <w:rPr>
        <w:rFonts w:ascii="Courier New" w:hAnsi="Courier New" w:cs="Courier New" w:hint="default"/>
      </w:rPr>
    </w:lvl>
    <w:lvl w:ilvl="8" w:tplc="04100005" w:tentative="1">
      <w:start w:val="1"/>
      <w:numFmt w:val="bullet"/>
      <w:lvlText w:val=""/>
      <w:lvlJc w:val="left"/>
      <w:pPr>
        <w:ind w:left="6526" w:hanging="360"/>
      </w:pPr>
      <w:rPr>
        <w:rFonts w:ascii="Wingdings" w:hAnsi="Wingdings" w:hint="default"/>
      </w:rPr>
    </w:lvl>
  </w:abstractNum>
  <w:abstractNum w:abstractNumId="23" w15:restartNumberingAfterBreak="0">
    <w:nsid w:val="48F80836"/>
    <w:multiLevelType w:val="multilevel"/>
    <w:tmpl w:val="4BC8B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D151076"/>
    <w:multiLevelType w:val="hybridMultilevel"/>
    <w:tmpl w:val="7C9A7B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A6D0566"/>
    <w:multiLevelType w:val="hybridMultilevel"/>
    <w:tmpl w:val="94D4E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E857F4F"/>
    <w:multiLevelType w:val="hybridMultilevel"/>
    <w:tmpl w:val="89FCE9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85194529">
    <w:abstractNumId w:val="12"/>
  </w:num>
  <w:num w:numId="2" w16cid:durableId="1495753844">
    <w:abstractNumId w:val="27"/>
  </w:num>
  <w:num w:numId="3" w16cid:durableId="229005568">
    <w:abstractNumId w:val="6"/>
  </w:num>
  <w:num w:numId="4" w16cid:durableId="507718667">
    <w:abstractNumId w:val="15"/>
  </w:num>
  <w:num w:numId="5" w16cid:durableId="96755520">
    <w:abstractNumId w:val="24"/>
  </w:num>
  <w:num w:numId="6" w16cid:durableId="416899860">
    <w:abstractNumId w:val="2"/>
  </w:num>
  <w:num w:numId="7" w16cid:durableId="1132477376">
    <w:abstractNumId w:val="1"/>
  </w:num>
  <w:num w:numId="8" w16cid:durableId="100805651">
    <w:abstractNumId w:val="0"/>
  </w:num>
  <w:num w:numId="9" w16cid:durableId="1235355329">
    <w:abstractNumId w:val="26"/>
  </w:num>
  <w:num w:numId="10" w16cid:durableId="1843812495">
    <w:abstractNumId w:val="28"/>
  </w:num>
  <w:num w:numId="11" w16cid:durableId="2104180784">
    <w:abstractNumId w:val="9"/>
  </w:num>
  <w:num w:numId="12" w16cid:durableId="1762987962">
    <w:abstractNumId w:val="22"/>
  </w:num>
  <w:num w:numId="13" w16cid:durableId="1852648018">
    <w:abstractNumId w:val="20"/>
  </w:num>
  <w:num w:numId="14" w16cid:durableId="997923165">
    <w:abstractNumId w:val="30"/>
  </w:num>
  <w:num w:numId="15" w16cid:durableId="1736508680">
    <w:abstractNumId w:val="29"/>
  </w:num>
  <w:num w:numId="16" w16cid:durableId="247472490">
    <w:abstractNumId w:val="25"/>
  </w:num>
  <w:num w:numId="17" w16cid:durableId="1871409747">
    <w:abstractNumId w:val="19"/>
  </w:num>
  <w:num w:numId="18" w16cid:durableId="1198350261">
    <w:abstractNumId w:val="11"/>
  </w:num>
  <w:num w:numId="19" w16cid:durableId="696472547">
    <w:abstractNumId w:val="17"/>
  </w:num>
  <w:num w:numId="20" w16cid:durableId="1197623347">
    <w:abstractNumId w:val="21"/>
  </w:num>
  <w:num w:numId="21" w16cid:durableId="1001618431">
    <w:abstractNumId w:val="13"/>
  </w:num>
  <w:num w:numId="22" w16cid:durableId="535192868">
    <w:abstractNumId w:val="3"/>
  </w:num>
  <w:num w:numId="23" w16cid:durableId="616520930">
    <w:abstractNumId w:val="16"/>
  </w:num>
  <w:num w:numId="24" w16cid:durableId="1765952937">
    <w:abstractNumId w:val="14"/>
  </w:num>
  <w:num w:numId="25" w16cid:durableId="496502195">
    <w:abstractNumId w:val="4"/>
  </w:num>
  <w:num w:numId="26" w16cid:durableId="75514849">
    <w:abstractNumId w:val="10"/>
  </w:num>
  <w:num w:numId="27" w16cid:durableId="1691030350">
    <w:abstractNumId w:val="18"/>
  </w:num>
  <w:num w:numId="28" w16cid:durableId="1185751449">
    <w:abstractNumId w:val="5"/>
  </w:num>
  <w:num w:numId="29" w16cid:durableId="1944611223">
    <w:abstractNumId w:val="7"/>
  </w:num>
  <w:num w:numId="30" w16cid:durableId="1374966896">
    <w:abstractNumId w:val="23"/>
  </w:num>
  <w:num w:numId="31" w16cid:durableId="837303142">
    <w:abstractNumId w:val="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24A1"/>
    <w:rsid w:val="0000384D"/>
    <w:rsid w:val="00004302"/>
    <w:rsid w:val="000047FF"/>
    <w:rsid w:val="00006BF9"/>
    <w:rsid w:val="000070EC"/>
    <w:rsid w:val="000117CE"/>
    <w:rsid w:val="0001185B"/>
    <w:rsid w:val="00012775"/>
    <w:rsid w:val="00013DDA"/>
    <w:rsid w:val="00014B76"/>
    <w:rsid w:val="00015E9A"/>
    <w:rsid w:val="000179CA"/>
    <w:rsid w:val="00017DD7"/>
    <w:rsid w:val="00023F65"/>
    <w:rsid w:val="000258E3"/>
    <w:rsid w:val="00026053"/>
    <w:rsid w:val="000263AD"/>
    <w:rsid w:val="00026415"/>
    <w:rsid w:val="00027974"/>
    <w:rsid w:val="00030884"/>
    <w:rsid w:val="0003194E"/>
    <w:rsid w:val="0003236F"/>
    <w:rsid w:val="00032D07"/>
    <w:rsid w:val="00032D96"/>
    <w:rsid w:val="00034F00"/>
    <w:rsid w:val="00034FFF"/>
    <w:rsid w:val="000370D8"/>
    <w:rsid w:val="000372FC"/>
    <w:rsid w:val="00041619"/>
    <w:rsid w:val="0004458A"/>
    <w:rsid w:val="0004503E"/>
    <w:rsid w:val="00045BF4"/>
    <w:rsid w:val="00045FC2"/>
    <w:rsid w:val="00046966"/>
    <w:rsid w:val="0004724F"/>
    <w:rsid w:val="00047EAD"/>
    <w:rsid w:val="00051449"/>
    <w:rsid w:val="00051AB2"/>
    <w:rsid w:val="00053CEC"/>
    <w:rsid w:val="00053F02"/>
    <w:rsid w:val="00057A13"/>
    <w:rsid w:val="0006077C"/>
    <w:rsid w:val="0006228C"/>
    <w:rsid w:val="00062FC4"/>
    <w:rsid w:val="00063757"/>
    <w:rsid w:val="00064086"/>
    <w:rsid w:val="00065153"/>
    <w:rsid w:val="000659CB"/>
    <w:rsid w:val="00070988"/>
    <w:rsid w:val="00070B21"/>
    <w:rsid w:val="00070ED2"/>
    <w:rsid w:val="00071E55"/>
    <w:rsid w:val="00072BCD"/>
    <w:rsid w:val="00072C17"/>
    <w:rsid w:val="0007504F"/>
    <w:rsid w:val="0007671E"/>
    <w:rsid w:val="0007732C"/>
    <w:rsid w:val="00083CBB"/>
    <w:rsid w:val="00084C42"/>
    <w:rsid w:val="00085B49"/>
    <w:rsid w:val="000862AE"/>
    <w:rsid w:val="0008633D"/>
    <w:rsid w:val="00092406"/>
    <w:rsid w:val="000927D1"/>
    <w:rsid w:val="00092813"/>
    <w:rsid w:val="00092B57"/>
    <w:rsid w:val="00093498"/>
    <w:rsid w:val="00094101"/>
    <w:rsid w:val="00095299"/>
    <w:rsid w:val="00096944"/>
    <w:rsid w:val="000A08A7"/>
    <w:rsid w:val="000A1CBB"/>
    <w:rsid w:val="000A3848"/>
    <w:rsid w:val="000B028A"/>
    <w:rsid w:val="000B4170"/>
    <w:rsid w:val="000C11A1"/>
    <w:rsid w:val="000C3A1F"/>
    <w:rsid w:val="000C69A0"/>
    <w:rsid w:val="000C7A56"/>
    <w:rsid w:val="000D0B35"/>
    <w:rsid w:val="000D11F5"/>
    <w:rsid w:val="000D5AC0"/>
    <w:rsid w:val="000D6D62"/>
    <w:rsid w:val="000E09C2"/>
    <w:rsid w:val="000E0C5C"/>
    <w:rsid w:val="000E15DE"/>
    <w:rsid w:val="000E2A3B"/>
    <w:rsid w:val="000E4173"/>
    <w:rsid w:val="000E41BE"/>
    <w:rsid w:val="000E64E4"/>
    <w:rsid w:val="000F0337"/>
    <w:rsid w:val="000F1956"/>
    <w:rsid w:val="000F1FC2"/>
    <w:rsid w:val="000F2AB8"/>
    <w:rsid w:val="000F2EA8"/>
    <w:rsid w:val="000F3488"/>
    <w:rsid w:val="00103C13"/>
    <w:rsid w:val="001042A3"/>
    <w:rsid w:val="0010571F"/>
    <w:rsid w:val="00111DCD"/>
    <w:rsid w:val="001120C8"/>
    <w:rsid w:val="00113FCA"/>
    <w:rsid w:val="00114957"/>
    <w:rsid w:val="00115785"/>
    <w:rsid w:val="00116979"/>
    <w:rsid w:val="00121B92"/>
    <w:rsid w:val="00124518"/>
    <w:rsid w:val="0012665F"/>
    <w:rsid w:val="0012690C"/>
    <w:rsid w:val="00127F74"/>
    <w:rsid w:val="0013056E"/>
    <w:rsid w:val="00131F66"/>
    <w:rsid w:val="00132FE7"/>
    <w:rsid w:val="00136F25"/>
    <w:rsid w:val="001375BD"/>
    <w:rsid w:val="00140C69"/>
    <w:rsid w:val="001426D1"/>
    <w:rsid w:val="00143033"/>
    <w:rsid w:val="00143B8D"/>
    <w:rsid w:val="0014496F"/>
    <w:rsid w:val="0014599E"/>
    <w:rsid w:val="0014725F"/>
    <w:rsid w:val="00152840"/>
    <w:rsid w:val="001561C7"/>
    <w:rsid w:val="00160DFB"/>
    <w:rsid w:val="00161127"/>
    <w:rsid w:val="001611EE"/>
    <w:rsid w:val="0016173E"/>
    <w:rsid w:val="0016424C"/>
    <w:rsid w:val="0016790B"/>
    <w:rsid w:val="00172200"/>
    <w:rsid w:val="00176A3F"/>
    <w:rsid w:val="001827A3"/>
    <w:rsid w:val="00182865"/>
    <w:rsid w:val="00182AC9"/>
    <w:rsid w:val="00183025"/>
    <w:rsid w:val="00190069"/>
    <w:rsid w:val="00191F89"/>
    <w:rsid w:val="001931AB"/>
    <w:rsid w:val="001933A3"/>
    <w:rsid w:val="001937EB"/>
    <w:rsid w:val="00194216"/>
    <w:rsid w:val="001950EB"/>
    <w:rsid w:val="00195AE3"/>
    <w:rsid w:val="00195FCE"/>
    <w:rsid w:val="001A2229"/>
    <w:rsid w:val="001A4042"/>
    <w:rsid w:val="001B057D"/>
    <w:rsid w:val="001B0B6B"/>
    <w:rsid w:val="001B2FD1"/>
    <w:rsid w:val="001B385A"/>
    <w:rsid w:val="001B42DC"/>
    <w:rsid w:val="001B53A7"/>
    <w:rsid w:val="001B5F68"/>
    <w:rsid w:val="001B7A76"/>
    <w:rsid w:val="001C0F3F"/>
    <w:rsid w:val="001C3FB3"/>
    <w:rsid w:val="001C4185"/>
    <w:rsid w:val="001C4444"/>
    <w:rsid w:val="001C4D70"/>
    <w:rsid w:val="001C5D2C"/>
    <w:rsid w:val="001D085A"/>
    <w:rsid w:val="001D403E"/>
    <w:rsid w:val="001D48C2"/>
    <w:rsid w:val="001D4A1F"/>
    <w:rsid w:val="001D70C7"/>
    <w:rsid w:val="001E0BEF"/>
    <w:rsid w:val="001E18E2"/>
    <w:rsid w:val="001E1F69"/>
    <w:rsid w:val="001E5905"/>
    <w:rsid w:val="001E5F05"/>
    <w:rsid w:val="001E7509"/>
    <w:rsid w:val="001E76B9"/>
    <w:rsid w:val="001F09A0"/>
    <w:rsid w:val="001F0E68"/>
    <w:rsid w:val="001F3D03"/>
    <w:rsid w:val="001F4188"/>
    <w:rsid w:val="001F4CD9"/>
    <w:rsid w:val="001F74D2"/>
    <w:rsid w:val="002013A4"/>
    <w:rsid w:val="0020293A"/>
    <w:rsid w:val="00205B70"/>
    <w:rsid w:val="00206263"/>
    <w:rsid w:val="00206A7D"/>
    <w:rsid w:val="00207469"/>
    <w:rsid w:val="002109E3"/>
    <w:rsid w:val="00213885"/>
    <w:rsid w:val="002149F6"/>
    <w:rsid w:val="00215452"/>
    <w:rsid w:val="00223727"/>
    <w:rsid w:val="00224A9B"/>
    <w:rsid w:val="00225171"/>
    <w:rsid w:val="00227F3C"/>
    <w:rsid w:val="00230123"/>
    <w:rsid w:val="002320A9"/>
    <w:rsid w:val="002348CA"/>
    <w:rsid w:val="00234A51"/>
    <w:rsid w:val="00234C60"/>
    <w:rsid w:val="00237413"/>
    <w:rsid w:val="002440E0"/>
    <w:rsid w:val="00245EEC"/>
    <w:rsid w:val="0025263B"/>
    <w:rsid w:val="00255B87"/>
    <w:rsid w:val="0025784C"/>
    <w:rsid w:val="00260104"/>
    <w:rsid w:val="002616C6"/>
    <w:rsid w:val="002618FA"/>
    <w:rsid w:val="00263B91"/>
    <w:rsid w:val="002669AD"/>
    <w:rsid w:val="0026730C"/>
    <w:rsid w:val="002676FD"/>
    <w:rsid w:val="00267C9C"/>
    <w:rsid w:val="002704DA"/>
    <w:rsid w:val="0027109E"/>
    <w:rsid w:val="0027177C"/>
    <w:rsid w:val="002721EA"/>
    <w:rsid w:val="00274375"/>
    <w:rsid w:val="00274700"/>
    <w:rsid w:val="0027479C"/>
    <w:rsid w:val="00276ADA"/>
    <w:rsid w:val="00277237"/>
    <w:rsid w:val="0027733A"/>
    <w:rsid w:val="00281F6D"/>
    <w:rsid w:val="002826D1"/>
    <w:rsid w:val="00283B34"/>
    <w:rsid w:val="00284142"/>
    <w:rsid w:val="002873F4"/>
    <w:rsid w:val="002879DD"/>
    <w:rsid w:val="002904C1"/>
    <w:rsid w:val="0029134A"/>
    <w:rsid w:val="00292492"/>
    <w:rsid w:val="00293B01"/>
    <w:rsid w:val="002961B7"/>
    <w:rsid w:val="00296331"/>
    <w:rsid w:val="002A211A"/>
    <w:rsid w:val="002A29DD"/>
    <w:rsid w:val="002A46BA"/>
    <w:rsid w:val="002B7F0B"/>
    <w:rsid w:val="002C31BD"/>
    <w:rsid w:val="002C3C5F"/>
    <w:rsid w:val="002C3C86"/>
    <w:rsid w:val="002C4824"/>
    <w:rsid w:val="002D4E09"/>
    <w:rsid w:val="002E6118"/>
    <w:rsid w:val="002E63EF"/>
    <w:rsid w:val="002E6D6E"/>
    <w:rsid w:val="002E71B7"/>
    <w:rsid w:val="002F254C"/>
    <w:rsid w:val="002F468B"/>
    <w:rsid w:val="002F53DE"/>
    <w:rsid w:val="002F7804"/>
    <w:rsid w:val="0030053D"/>
    <w:rsid w:val="00301C53"/>
    <w:rsid w:val="003037B0"/>
    <w:rsid w:val="00303BB4"/>
    <w:rsid w:val="00305C7A"/>
    <w:rsid w:val="0030629B"/>
    <w:rsid w:val="003153A7"/>
    <w:rsid w:val="003167CA"/>
    <w:rsid w:val="00317D9C"/>
    <w:rsid w:val="00321798"/>
    <w:rsid w:val="003270B8"/>
    <w:rsid w:val="003359E3"/>
    <w:rsid w:val="00335FA8"/>
    <w:rsid w:val="00337EF4"/>
    <w:rsid w:val="00340D78"/>
    <w:rsid w:val="003420EA"/>
    <w:rsid w:val="0034262C"/>
    <w:rsid w:val="00342AD8"/>
    <w:rsid w:val="00343BF8"/>
    <w:rsid w:val="00346CA7"/>
    <w:rsid w:val="003511A5"/>
    <w:rsid w:val="00351802"/>
    <w:rsid w:val="003545C8"/>
    <w:rsid w:val="00354B11"/>
    <w:rsid w:val="00355453"/>
    <w:rsid w:val="00357896"/>
    <w:rsid w:val="00357D9A"/>
    <w:rsid w:val="00360498"/>
    <w:rsid w:val="00361359"/>
    <w:rsid w:val="003629CC"/>
    <w:rsid w:val="00365464"/>
    <w:rsid w:val="003718B3"/>
    <w:rsid w:val="00373A5F"/>
    <w:rsid w:val="003803BB"/>
    <w:rsid w:val="00380496"/>
    <w:rsid w:val="003816B2"/>
    <w:rsid w:val="00384AC9"/>
    <w:rsid w:val="0038640D"/>
    <w:rsid w:val="00391576"/>
    <w:rsid w:val="00391A61"/>
    <w:rsid w:val="00393FA5"/>
    <w:rsid w:val="00393FE4"/>
    <w:rsid w:val="00394C66"/>
    <w:rsid w:val="003954C4"/>
    <w:rsid w:val="00395767"/>
    <w:rsid w:val="0039719E"/>
    <w:rsid w:val="003971C1"/>
    <w:rsid w:val="003974D4"/>
    <w:rsid w:val="003A4E95"/>
    <w:rsid w:val="003A7143"/>
    <w:rsid w:val="003A7BAD"/>
    <w:rsid w:val="003B000F"/>
    <w:rsid w:val="003B09A1"/>
    <w:rsid w:val="003B4DF5"/>
    <w:rsid w:val="003B654E"/>
    <w:rsid w:val="003C1F08"/>
    <w:rsid w:val="003C3273"/>
    <w:rsid w:val="003D1F83"/>
    <w:rsid w:val="003D43CB"/>
    <w:rsid w:val="003D6202"/>
    <w:rsid w:val="003D63A7"/>
    <w:rsid w:val="003D64AA"/>
    <w:rsid w:val="003E1973"/>
    <w:rsid w:val="003E1B6D"/>
    <w:rsid w:val="003E1F79"/>
    <w:rsid w:val="003E3BB7"/>
    <w:rsid w:val="003F255C"/>
    <w:rsid w:val="003F3938"/>
    <w:rsid w:val="003F4619"/>
    <w:rsid w:val="003F539C"/>
    <w:rsid w:val="003F56A2"/>
    <w:rsid w:val="003F5C67"/>
    <w:rsid w:val="00404BA5"/>
    <w:rsid w:val="004053CA"/>
    <w:rsid w:val="00406B14"/>
    <w:rsid w:val="00407659"/>
    <w:rsid w:val="00410C83"/>
    <w:rsid w:val="00413C92"/>
    <w:rsid w:val="00414E11"/>
    <w:rsid w:val="00417016"/>
    <w:rsid w:val="00417C3A"/>
    <w:rsid w:val="00422081"/>
    <w:rsid w:val="0042236B"/>
    <w:rsid w:val="004237FF"/>
    <w:rsid w:val="00423D49"/>
    <w:rsid w:val="004250BB"/>
    <w:rsid w:val="00425D13"/>
    <w:rsid w:val="00426D4F"/>
    <w:rsid w:val="00434AB8"/>
    <w:rsid w:val="004359B8"/>
    <w:rsid w:val="00436775"/>
    <w:rsid w:val="00437A6E"/>
    <w:rsid w:val="00442673"/>
    <w:rsid w:val="004432C7"/>
    <w:rsid w:val="0044412B"/>
    <w:rsid w:val="004464A7"/>
    <w:rsid w:val="0044656A"/>
    <w:rsid w:val="004468C1"/>
    <w:rsid w:val="00451735"/>
    <w:rsid w:val="0045357B"/>
    <w:rsid w:val="004549F2"/>
    <w:rsid w:val="00454E34"/>
    <w:rsid w:val="0045562A"/>
    <w:rsid w:val="004575D7"/>
    <w:rsid w:val="00461A43"/>
    <w:rsid w:val="0046449A"/>
    <w:rsid w:val="00464D96"/>
    <w:rsid w:val="00467DC7"/>
    <w:rsid w:val="004711EF"/>
    <w:rsid w:val="0047217C"/>
    <w:rsid w:val="004750D5"/>
    <w:rsid w:val="0047643F"/>
    <w:rsid w:val="00477F00"/>
    <w:rsid w:val="00480EF9"/>
    <w:rsid w:val="00486BB9"/>
    <w:rsid w:val="00487069"/>
    <w:rsid w:val="004906C4"/>
    <w:rsid w:val="00491B5A"/>
    <w:rsid w:val="0049555D"/>
    <w:rsid w:val="004A1E38"/>
    <w:rsid w:val="004A3FC7"/>
    <w:rsid w:val="004A53CD"/>
    <w:rsid w:val="004A607D"/>
    <w:rsid w:val="004B0CBF"/>
    <w:rsid w:val="004B182F"/>
    <w:rsid w:val="004B194D"/>
    <w:rsid w:val="004B21DC"/>
    <w:rsid w:val="004B2C68"/>
    <w:rsid w:val="004B2EDB"/>
    <w:rsid w:val="004B6E08"/>
    <w:rsid w:val="004C1CB8"/>
    <w:rsid w:val="004C1E6D"/>
    <w:rsid w:val="004C2BCE"/>
    <w:rsid w:val="004D2310"/>
    <w:rsid w:val="004D3A3D"/>
    <w:rsid w:val="004D3B2B"/>
    <w:rsid w:val="004D5E29"/>
    <w:rsid w:val="004D7672"/>
    <w:rsid w:val="004E02A9"/>
    <w:rsid w:val="004E165E"/>
    <w:rsid w:val="004E52D9"/>
    <w:rsid w:val="004E5EAC"/>
    <w:rsid w:val="004E6D55"/>
    <w:rsid w:val="004E70BE"/>
    <w:rsid w:val="004F3246"/>
    <w:rsid w:val="004F448A"/>
    <w:rsid w:val="004F54FC"/>
    <w:rsid w:val="004F5EE4"/>
    <w:rsid w:val="004F61C2"/>
    <w:rsid w:val="00500023"/>
    <w:rsid w:val="005006EA"/>
    <w:rsid w:val="0050499F"/>
    <w:rsid w:val="005107A9"/>
    <w:rsid w:val="0051187F"/>
    <w:rsid w:val="0051242F"/>
    <w:rsid w:val="00512FEE"/>
    <w:rsid w:val="00513AE8"/>
    <w:rsid w:val="00516CBB"/>
    <w:rsid w:val="00517C20"/>
    <w:rsid w:val="0052018F"/>
    <w:rsid w:val="00521ADA"/>
    <w:rsid w:val="00525905"/>
    <w:rsid w:val="0052735A"/>
    <w:rsid w:val="005378A7"/>
    <w:rsid w:val="00542CA6"/>
    <w:rsid w:val="00542D97"/>
    <w:rsid w:val="005453D4"/>
    <w:rsid w:val="005466BD"/>
    <w:rsid w:val="00547FBD"/>
    <w:rsid w:val="005506B3"/>
    <w:rsid w:val="00550D63"/>
    <w:rsid w:val="00551245"/>
    <w:rsid w:val="00556202"/>
    <w:rsid w:val="005626DA"/>
    <w:rsid w:val="0056457B"/>
    <w:rsid w:val="00564D7A"/>
    <w:rsid w:val="0056624A"/>
    <w:rsid w:val="00566BF4"/>
    <w:rsid w:val="00566C05"/>
    <w:rsid w:val="00567648"/>
    <w:rsid w:val="00567C68"/>
    <w:rsid w:val="00572161"/>
    <w:rsid w:val="005726D2"/>
    <w:rsid w:val="005758DA"/>
    <w:rsid w:val="00576227"/>
    <w:rsid w:val="005763B7"/>
    <w:rsid w:val="00576B92"/>
    <w:rsid w:val="00581838"/>
    <w:rsid w:val="00583E36"/>
    <w:rsid w:val="00587544"/>
    <w:rsid w:val="00590B3D"/>
    <w:rsid w:val="00590F3D"/>
    <w:rsid w:val="00592760"/>
    <w:rsid w:val="00593979"/>
    <w:rsid w:val="0059474F"/>
    <w:rsid w:val="00596098"/>
    <w:rsid w:val="005A1D66"/>
    <w:rsid w:val="005A26CE"/>
    <w:rsid w:val="005A33BD"/>
    <w:rsid w:val="005A711E"/>
    <w:rsid w:val="005A7A5E"/>
    <w:rsid w:val="005A7E9F"/>
    <w:rsid w:val="005B0DEB"/>
    <w:rsid w:val="005B21F8"/>
    <w:rsid w:val="005B2FEC"/>
    <w:rsid w:val="005B7D6D"/>
    <w:rsid w:val="005C3363"/>
    <w:rsid w:val="005C3EB1"/>
    <w:rsid w:val="005C5573"/>
    <w:rsid w:val="005C692B"/>
    <w:rsid w:val="005C76B2"/>
    <w:rsid w:val="005D172D"/>
    <w:rsid w:val="005D354D"/>
    <w:rsid w:val="005D38DC"/>
    <w:rsid w:val="005D41A2"/>
    <w:rsid w:val="005D4483"/>
    <w:rsid w:val="005D4DBD"/>
    <w:rsid w:val="005D6D95"/>
    <w:rsid w:val="005D782E"/>
    <w:rsid w:val="005D7DEB"/>
    <w:rsid w:val="005D7F61"/>
    <w:rsid w:val="005E0032"/>
    <w:rsid w:val="005E1047"/>
    <w:rsid w:val="005E3921"/>
    <w:rsid w:val="005E3D62"/>
    <w:rsid w:val="005E4EBD"/>
    <w:rsid w:val="005E6B71"/>
    <w:rsid w:val="005F119B"/>
    <w:rsid w:val="005F22AF"/>
    <w:rsid w:val="005F2B37"/>
    <w:rsid w:val="005F32C6"/>
    <w:rsid w:val="005F47BF"/>
    <w:rsid w:val="005F6181"/>
    <w:rsid w:val="005F65C0"/>
    <w:rsid w:val="005F7EE0"/>
    <w:rsid w:val="00600D84"/>
    <w:rsid w:val="006014C4"/>
    <w:rsid w:val="00602FF2"/>
    <w:rsid w:val="00611F08"/>
    <w:rsid w:val="00612186"/>
    <w:rsid w:val="00612300"/>
    <w:rsid w:val="00612AEA"/>
    <w:rsid w:val="0061468A"/>
    <w:rsid w:val="00620405"/>
    <w:rsid w:val="0062387B"/>
    <w:rsid w:val="0062415A"/>
    <w:rsid w:val="0062651A"/>
    <w:rsid w:val="00626C65"/>
    <w:rsid w:val="006312E0"/>
    <w:rsid w:val="006335FA"/>
    <w:rsid w:val="00633F42"/>
    <w:rsid w:val="00634B35"/>
    <w:rsid w:val="00640591"/>
    <w:rsid w:val="0064063D"/>
    <w:rsid w:val="00640F4F"/>
    <w:rsid w:val="006420D3"/>
    <w:rsid w:val="00646A25"/>
    <w:rsid w:val="00646D86"/>
    <w:rsid w:val="0064785C"/>
    <w:rsid w:val="0065180D"/>
    <w:rsid w:val="006519ED"/>
    <w:rsid w:val="0065205D"/>
    <w:rsid w:val="00653A3B"/>
    <w:rsid w:val="00654AAE"/>
    <w:rsid w:val="00655EBA"/>
    <w:rsid w:val="00660930"/>
    <w:rsid w:val="006611BE"/>
    <w:rsid w:val="006613A1"/>
    <w:rsid w:val="00661927"/>
    <w:rsid w:val="00663363"/>
    <w:rsid w:val="006643A4"/>
    <w:rsid w:val="00667EEB"/>
    <w:rsid w:val="00672201"/>
    <w:rsid w:val="006737D1"/>
    <w:rsid w:val="00680718"/>
    <w:rsid w:val="00681B3D"/>
    <w:rsid w:val="006827F6"/>
    <w:rsid w:val="0068412E"/>
    <w:rsid w:val="00684457"/>
    <w:rsid w:val="00685240"/>
    <w:rsid w:val="006863EB"/>
    <w:rsid w:val="00686B44"/>
    <w:rsid w:val="00693A81"/>
    <w:rsid w:val="0069543F"/>
    <w:rsid w:val="00696D99"/>
    <w:rsid w:val="006A1A9D"/>
    <w:rsid w:val="006A24CA"/>
    <w:rsid w:val="006A52F9"/>
    <w:rsid w:val="006A6FF6"/>
    <w:rsid w:val="006B0D5A"/>
    <w:rsid w:val="006B16D1"/>
    <w:rsid w:val="006B4E7B"/>
    <w:rsid w:val="006C14E5"/>
    <w:rsid w:val="006C2A2E"/>
    <w:rsid w:val="006C2E1F"/>
    <w:rsid w:val="006C4B4D"/>
    <w:rsid w:val="006C4F4F"/>
    <w:rsid w:val="006C7861"/>
    <w:rsid w:val="006D23E1"/>
    <w:rsid w:val="006D33F2"/>
    <w:rsid w:val="006D4728"/>
    <w:rsid w:val="006D4770"/>
    <w:rsid w:val="006D50A6"/>
    <w:rsid w:val="006D57BD"/>
    <w:rsid w:val="006D5DC4"/>
    <w:rsid w:val="006D5DDD"/>
    <w:rsid w:val="006D6787"/>
    <w:rsid w:val="006D6BD9"/>
    <w:rsid w:val="006D6FA1"/>
    <w:rsid w:val="006D75BB"/>
    <w:rsid w:val="006D79E9"/>
    <w:rsid w:val="006E1857"/>
    <w:rsid w:val="006E1B0F"/>
    <w:rsid w:val="006E2E62"/>
    <w:rsid w:val="006E2FBA"/>
    <w:rsid w:val="006E3600"/>
    <w:rsid w:val="006E5DFD"/>
    <w:rsid w:val="006E70E9"/>
    <w:rsid w:val="006F42D7"/>
    <w:rsid w:val="006F4FED"/>
    <w:rsid w:val="006F6780"/>
    <w:rsid w:val="00700C8B"/>
    <w:rsid w:val="0070243D"/>
    <w:rsid w:val="00702A17"/>
    <w:rsid w:val="00703E81"/>
    <w:rsid w:val="00704B51"/>
    <w:rsid w:val="00705B87"/>
    <w:rsid w:val="007064CE"/>
    <w:rsid w:val="00710B6D"/>
    <w:rsid w:val="0071247D"/>
    <w:rsid w:val="00715238"/>
    <w:rsid w:val="00717CC9"/>
    <w:rsid w:val="007206D7"/>
    <w:rsid w:val="00721702"/>
    <w:rsid w:val="00723D0A"/>
    <w:rsid w:val="00726AD4"/>
    <w:rsid w:val="0072739D"/>
    <w:rsid w:val="00730BFF"/>
    <w:rsid w:val="00731207"/>
    <w:rsid w:val="0073414B"/>
    <w:rsid w:val="00734EC3"/>
    <w:rsid w:val="00735655"/>
    <w:rsid w:val="00740380"/>
    <w:rsid w:val="0074065A"/>
    <w:rsid w:val="0074170B"/>
    <w:rsid w:val="007429B4"/>
    <w:rsid w:val="00743F24"/>
    <w:rsid w:val="00745924"/>
    <w:rsid w:val="007462C1"/>
    <w:rsid w:val="00751BDB"/>
    <w:rsid w:val="00755B41"/>
    <w:rsid w:val="007566DA"/>
    <w:rsid w:val="007579EF"/>
    <w:rsid w:val="007649AD"/>
    <w:rsid w:val="00766450"/>
    <w:rsid w:val="00767F81"/>
    <w:rsid w:val="007704CB"/>
    <w:rsid w:val="00770A77"/>
    <w:rsid w:val="00770B5E"/>
    <w:rsid w:val="00771078"/>
    <w:rsid w:val="00772C15"/>
    <w:rsid w:val="00774209"/>
    <w:rsid w:val="00775DF7"/>
    <w:rsid w:val="007767D0"/>
    <w:rsid w:val="00776820"/>
    <w:rsid w:val="00777FBC"/>
    <w:rsid w:val="00780C6D"/>
    <w:rsid w:val="00781286"/>
    <w:rsid w:val="00782A8B"/>
    <w:rsid w:val="007837FC"/>
    <w:rsid w:val="007864AE"/>
    <w:rsid w:val="007866D4"/>
    <w:rsid w:val="0078691B"/>
    <w:rsid w:val="00787554"/>
    <w:rsid w:val="007907E7"/>
    <w:rsid w:val="00790A9B"/>
    <w:rsid w:val="0079321E"/>
    <w:rsid w:val="0079701B"/>
    <w:rsid w:val="007976BB"/>
    <w:rsid w:val="007A04D0"/>
    <w:rsid w:val="007A0DD8"/>
    <w:rsid w:val="007A2379"/>
    <w:rsid w:val="007A2939"/>
    <w:rsid w:val="007A49E3"/>
    <w:rsid w:val="007A6FA6"/>
    <w:rsid w:val="007B030E"/>
    <w:rsid w:val="007B0F12"/>
    <w:rsid w:val="007B1CFD"/>
    <w:rsid w:val="007B3DA8"/>
    <w:rsid w:val="007B46F7"/>
    <w:rsid w:val="007B55FC"/>
    <w:rsid w:val="007B6130"/>
    <w:rsid w:val="007C1DD0"/>
    <w:rsid w:val="007C2C07"/>
    <w:rsid w:val="007C2E2B"/>
    <w:rsid w:val="007C5205"/>
    <w:rsid w:val="007D0945"/>
    <w:rsid w:val="007D0F6D"/>
    <w:rsid w:val="007D4C08"/>
    <w:rsid w:val="007D6F50"/>
    <w:rsid w:val="007D74F5"/>
    <w:rsid w:val="007E0588"/>
    <w:rsid w:val="007E46BD"/>
    <w:rsid w:val="007E4866"/>
    <w:rsid w:val="007E4F96"/>
    <w:rsid w:val="007E501E"/>
    <w:rsid w:val="007E6A03"/>
    <w:rsid w:val="007F04E1"/>
    <w:rsid w:val="007F1017"/>
    <w:rsid w:val="007F21F3"/>
    <w:rsid w:val="007F245D"/>
    <w:rsid w:val="007F2B03"/>
    <w:rsid w:val="007F2F31"/>
    <w:rsid w:val="007F3444"/>
    <w:rsid w:val="007F4679"/>
    <w:rsid w:val="007F5367"/>
    <w:rsid w:val="007F64C5"/>
    <w:rsid w:val="007F670D"/>
    <w:rsid w:val="00802E55"/>
    <w:rsid w:val="00803FBD"/>
    <w:rsid w:val="0080407C"/>
    <w:rsid w:val="00810C6B"/>
    <w:rsid w:val="008132AB"/>
    <w:rsid w:val="00817AFB"/>
    <w:rsid w:val="00817DD0"/>
    <w:rsid w:val="0082119F"/>
    <w:rsid w:val="00834EFF"/>
    <w:rsid w:val="00835D66"/>
    <w:rsid w:val="0084005B"/>
    <w:rsid w:val="008403F1"/>
    <w:rsid w:val="00840FA4"/>
    <w:rsid w:val="0084417D"/>
    <w:rsid w:val="00844B6A"/>
    <w:rsid w:val="00844F29"/>
    <w:rsid w:val="00845DEF"/>
    <w:rsid w:val="00845F3D"/>
    <w:rsid w:val="00845FE5"/>
    <w:rsid w:val="00850831"/>
    <w:rsid w:val="008516E8"/>
    <w:rsid w:val="0085367F"/>
    <w:rsid w:val="00855836"/>
    <w:rsid w:val="00855AE4"/>
    <w:rsid w:val="008569AA"/>
    <w:rsid w:val="008601F5"/>
    <w:rsid w:val="0086359C"/>
    <w:rsid w:val="00866A3B"/>
    <w:rsid w:val="008677F0"/>
    <w:rsid w:val="00872DBB"/>
    <w:rsid w:val="00873EA7"/>
    <w:rsid w:val="00874C29"/>
    <w:rsid w:val="008800E0"/>
    <w:rsid w:val="00882573"/>
    <w:rsid w:val="008849A4"/>
    <w:rsid w:val="0088610D"/>
    <w:rsid w:val="0088741C"/>
    <w:rsid w:val="0089222E"/>
    <w:rsid w:val="008951D1"/>
    <w:rsid w:val="00895865"/>
    <w:rsid w:val="008A023F"/>
    <w:rsid w:val="008A036B"/>
    <w:rsid w:val="008A07DD"/>
    <w:rsid w:val="008A0878"/>
    <w:rsid w:val="008B02FD"/>
    <w:rsid w:val="008B2240"/>
    <w:rsid w:val="008B29DA"/>
    <w:rsid w:val="008B4114"/>
    <w:rsid w:val="008B7516"/>
    <w:rsid w:val="008C3E1D"/>
    <w:rsid w:val="008C4DA6"/>
    <w:rsid w:val="008C4FF2"/>
    <w:rsid w:val="008C5639"/>
    <w:rsid w:val="008D375D"/>
    <w:rsid w:val="008D3A8A"/>
    <w:rsid w:val="008D633A"/>
    <w:rsid w:val="008E3E3D"/>
    <w:rsid w:val="008F02D3"/>
    <w:rsid w:val="008F1685"/>
    <w:rsid w:val="008F1C6A"/>
    <w:rsid w:val="008F2B5A"/>
    <w:rsid w:val="008F6F82"/>
    <w:rsid w:val="008F7C58"/>
    <w:rsid w:val="0090231B"/>
    <w:rsid w:val="0090373F"/>
    <w:rsid w:val="009042C0"/>
    <w:rsid w:val="00905761"/>
    <w:rsid w:val="00906AA8"/>
    <w:rsid w:val="009154F9"/>
    <w:rsid w:val="0091561B"/>
    <w:rsid w:val="00915C63"/>
    <w:rsid w:val="00922293"/>
    <w:rsid w:val="00923D1E"/>
    <w:rsid w:val="00924E52"/>
    <w:rsid w:val="009319F7"/>
    <w:rsid w:val="00933DE0"/>
    <w:rsid w:val="00935420"/>
    <w:rsid w:val="0093668A"/>
    <w:rsid w:val="00936BAF"/>
    <w:rsid w:val="00941CB3"/>
    <w:rsid w:val="00943DE0"/>
    <w:rsid w:val="00946EB8"/>
    <w:rsid w:val="009512B1"/>
    <w:rsid w:val="009518A3"/>
    <w:rsid w:val="00951A91"/>
    <w:rsid w:val="00952A8B"/>
    <w:rsid w:val="009531B6"/>
    <w:rsid w:val="00953B20"/>
    <w:rsid w:val="00960E9B"/>
    <w:rsid w:val="009645D0"/>
    <w:rsid w:val="009646A3"/>
    <w:rsid w:val="00964AB0"/>
    <w:rsid w:val="00970E53"/>
    <w:rsid w:val="00972D0A"/>
    <w:rsid w:val="009732FF"/>
    <w:rsid w:val="00973E90"/>
    <w:rsid w:val="00980920"/>
    <w:rsid w:val="00981B56"/>
    <w:rsid w:val="00991192"/>
    <w:rsid w:val="009924FC"/>
    <w:rsid w:val="00994C93"/>
    <w:rsid w:val="00995BDD"/>
    <w:rsid w:val="00997BF5"/>
    <w:rsid w:val="009A00D6"/>
    <w:rsid w:val="009A0851"/>
    <w:rsid w:val="009A1B74"/>
    <w:rsid w:val="009A20A8"/>
    <w:rsid w:val="009A2198"/>
    <w:rsid w:val="009A2556"/>
    <w:rsid w:val="009A2D0B"/>
    <w:rsid w:val="009A3A03"/>
    <w:rsid w:val="009A6233"/>
    <w:rsid w:val="009A6430"/>
    <w:rsid w:val="009A67E8"/>
    <w:rsid w:val="009A7DBC"/>
    <w:rsid w:val="009B2B5E"/>
    <w:rsid w:val="009B4E19"/>
    <w:rsid w:val="009B78A9"/>
    <w:rsid w:val="009B7FA0"/>
    <w:rsid w:val="009C1323"/>
    <w:rsid w:val="009C4122"/>
    <w:rsid w:val="009C4928"/>
    <w:rsid w:val="009C53BA"/>
    <w:rsid w:val="009D02A1"/>
    <w:rsid w:val="009D0A32"/>
    <w:rsid w:val="009D1969"/>
    <w:rsid w:val="009D445E"/>
    <w:rsid w:val="009E1247"/>
    <w:rsid w:val="009E255A"/>
    <w:rsid w:val="009E27A2"/>
    <w:rsid w:val="009E3A79"/>
    <w:rsid w:val="009F153C"/>
    <w:rsid w:val="009F159D"/>
    <w:rsid w:val="009F2804"/>
    <w:rsid w:val="009F2CD4"/>
    <w:rsid w:val="009F471E"/>
    <w:rsid w:val="00A00C6A"/>
    <w:rsid w:val="00A011D6"/>
    <w:rsid w:val="00A017ED"/>
    <w:rsid w:val="00A02FF7"/>
    <w:rsid w:val="00A038E4"/>
    <w:rsid w:val="00A10625"/>
    <w:rsid w:val="00A1155D"/>
    <w:rsid w:val="00A125A1"/>
    <w:rsid w:val="00A138F7"/>
    <w:rsid w:val="00A15DE7"/>
    <w:rsid w:val="00A200F0"/>
    <w:rsid w:val="00A23C76"/>
    <w:rsid w:val="00A2433F"/>
    <w:rsid w:val="00A26E44"/>
    <w:rsid w:val="00A26E9A"/>
    <w:rsid w:val="00A30059"/>
    <w:rsid w:val="00A317E7"/>
    <w:rsid w:val="00A33D92"/>
    <w:rsid w:val="00A37F9D"/>
    <w:rsid w:val="00A4079E"/>
    <w:rsid w:val="00A40B2D"/>
    <w:rsid w:val="00A4259C"/>
    <w:rsid w:val="00A47899"/>
    <w:rsid w:val="00A51067"/>
    <w:rsid w:val="00A5357C"/>
    <w:rsid w:val="00A6239E"/>
    <w:rsid w:val="00A6262E"/>
    <w:rsid w:val="00A62EF5"/>
    <w:rsid w:val="00A63659"/>
    <w:rsid w:val="00A63A9E"/>
    <w:rsid w:val="00A63E6C"/>
    <w:rsid w:val="00A63FE0"/>
    <w:rsid w:val="00A65855"/>
    <w:rsid w:val="00A66003"/>
    <w:rsid w:val="00A70CAC"/>
    <w:rsid w:val="00A7182A"/>
    <w:rsid w:val="00A720DB"/>
    <w:rsid w:val="00A721E0"/>
    <w:rsid w:val="00A7335E"/>
    <w:rsid w:val="00A73C2D"/>
    <w:rsid w:val="00A75B48"/>
    <w:rsid w:val="00A76A9C"/>
    <w:rsid w:val="00A7773F"/>
    <w:rsid w:val="00A8191D"/>
    <w:rsid w:val="00A83239"/>
    <w:rsid w:val="00A83742"/>
    <w:rsid w:val="00A84F68"/>
    <w:rsid w:val="00A86D71"/>
    <w:rsid w:val="00A90658"/>
    <w:rsid w:val="00A9391C"/>
    <w:rsid w:val="00A94087"/>
    <w:rsid w:val="00A96A23"/>
    <w:rsid w:val="00A96D60"/>
    <w:rsid w:val="00A97CC1"/>
    <w:rsid w:val="00AA4615"/>
    <w:rsid w:val="00AA628F"/>
    <w:rsid w:val="00AA66D1"/>
    <w:rsid w:val="00AB1706"/>
    <w:rsid w:val="00AB46B1"/>
    <w:rsid w:val="00AB51FE"/>
    <w:rsid w:val="00AB52E2"/>
    <w:rsid w:val="00AC4313"/>
    <w:rsid w:val="00AC48D7"/>
    <w:rsid w:val="00AC7143"/>
    <w:rsid w:val="00AC7216"/>
    <w:rsid w:val="00AD468D"/>
    <w:rsid w:val="00AE0B16"/>
    <w:rsid w:val="00AE2D24"/>
    <w:rsid w:val="00AE7734"/>
    <w:rsid w:val="00AE7E38"/>
    <w:rsid w:val="00AF153D"/>
    <w:rsid w:val="00AF4CE5"/>
    <w:rsid w:val="00AF50B3"/>
    <w:rsid w:val="00AF69BF"/>
    <w:rsid w:val="00AF7FE2"/>
    <w:rsid w:val="00B01279"/>
    <w:rsid w:val="00B0379E"/>
    <w:rsid w:val="00B0722F"/>
    <w:rsid w:val="00B11637"/>
    <w:rsid w:val="00B1314D"/>
    <w:rsid w:val="00B1354A"/>
    <w:rsid w:val="00B20EFC"/>
    <w:rsid w:val="00B2243D"/>
    <w:rsid w:val="00B224B1"/>
    <w:rsid w:val="00B318A4"/>
    <w:rsid w:val="00B32EAA"/>
    <w:rsid w:val="00B34F59"/>
    <w:rsid w:val="00B35ABE"/>
    <w:rsid w:val="00B437E5"/>
    <w:rsid w:val="00B43A6D"/>
    <w:rsid w:val="00B46C34"/>
    <w:rsid w:val="00B53AF2"/>
    <w:rsid w:val="00B5435B"/>
    <w:rsid w:val="00B569A5"/>
    <w:rsid w:val="00B57C42"/>
    <w:rsid w:val="00B616FF"/>
    <w:rsid w:val="00B626EA"/>
    <w:rsid w:val="00B62EB9"/>
    <w:rsid w:val="00B6424A"/>
    <w:rsid w:val="00B65DF0"/>
    <w:rsid w:val="00B65F38"/>
    <w:rsid w:val="00B6625D"/>
    <w:rsid w:val="00B73456"/>
    <w:rsid w:val="00B73DE0"/>
    <w:rsid w:val="00B7459C"/>
    <w:rsid w:val="00B760F4"/>
    <w:rsid w:val="00B81435"/>
    <w:rsid w:val="00B85872"/>
    <w:rsid w:val="00B85C5E"/>
    <w:rsid w:val="00B86D8B"/>
    <w:rsid w:val="00B913E5"/>
    <w:rsid w:val="00B9202E"/>
    <w:rsid w:val="00B92FB9"/>
    <w:rsid w:val="00B94070"/>
    <w:rsid w:val="00B94634"/>
    <w:rsid w:val="00BA2D4D"/>
    <w:rsid w:val="00BA3B7D"/>
    <w:rsid w:val="00BA6835"/>
    <w:rsid w:val="00BB0248"/>
    <w:rsid w:val="00BB2B86"/>
    <w:rsid w:val="00BB4716"/>
    <w:rsid w:val="00BB5102"/>
    <w:rsid w:val="00BB6418"/>
    <w:rsid w:val="00BB7F49"/>
    <w:rsid w:val="00BC0A87"/>
    <w:rsid w:val="00BC14E9"/>
    <w:rsid w:val="00BC33F7"/>
    <w:rsid w:val="00BC5A40"/>
    <w:rsid w:val="00BD1438"/>
    <w:rsid w:val="00BD2B5D"/>
    <w:rsid w:val="00BD2C8E"/>
    <w:rsid w:val="00BD3240"/>
    <w:rsid w:val="00BD385D"/>
    <w:rsid w:val="00BE0559"/>
    <w:rsid w:val="00BE058B"/>
    <w:rsid w:val="00BE12DA"/>
    <w:rsid w:val="00BE1693"/>
    <w:rsid w:val="00BF215E"/>
    <w:rsid w:val="00BF268C"/>
    <w:rsid w:val="00BF4918"/>
    <w:rsid w:val="00BF6854"/>
    <w:rsid w:val="00C004BB"/>
    <w:rsid w:val="00C05E06"/>
    <w:rsid w:val="00C11C23"/>
    <w:rsid w:val="00C14303"/>
    <w:rsid w:val="00C15320"/>
    <w:rsid w:val="00C156FC"/>
    <w:rsid w:val="00C16E51"/>
    <w:rsid w:val="00C25BC9"/>
    <w:rsid w:val="00C25E84"/>
    <w:rsid w:val="00C26FA3"/>
    <w:rsid w:val="00C3291C"/>
    <w:rsid w:val="00C32F55"/>
    <w:rsid w:val="00C345FD"/>
    <w:rsid w:val="00C34767"/>
    <w:rsid w:val="00C35B43"/>
    <w:rsid w:val="00C35D78"/>
    <w:rsid w:val="00C431CF"/>
    <w:rsid w:val="00C43C5B"/>
    <w:rsid w:val="00C455AC"/>
    <w:rsid w:val="00C457BC"/>
    <w:rsid w:val="00C471FA"/>
    <w:rsid w:val="00C47B74"/>
    <w:rsid w:val="00C55E2C"/>
    <w:rsid w:val="00C57782"/>
    <w:rsid w:val="00C57F28"/>
    <w:rsid w:val="00C60573"/>
    <w:rsid w:val="00C6215B"/>
    <w:rsid w:val="00C628B9"/>
    <w:rsid w:val="00C62A50"/>
    <w:rsid w:val="00C62AE6"/>
    <w:rsid w:val="00C62D90"/>
    <w:rsid w:val="00C63B99"/>
    <w:rsid w:val="00C64FB0"/>
    <w:rsid w:val="00C64FC7"/>
    <w:rsid w:val="00C657B2"/>
    <w:rsid w:val="00C6769B"/>
    <w:rsid w:val="00C70254"/>
    <w:rsid w:val="00C71495"/>
    <w:rsid w:val="00C73C22"/>
    <w:rsid w:val="00C75339"/>
    <w:rsid w:val="00C76E7D"/>
    <w:rsid w:val="00C82504"/>
    <w:rsid w:val="00C835B6"/>
    <w:rsid w:val="00C85D2D"/>
    <w:rsid w:val="00C86862"/>
    <w:rsid w:val="00C9324B"/>
    <w:rsid w:val="00C95107"/>
    <w:rsid w:val="00CA2661"/>
    <w:rsid w:val="00CA4CEB"/>
    <w:rsid w:val="00CA5839"/>
    <w:rsid w:val="00CA5AF5"/>
    <w:rsid w:val="00CA69E0"/>
    <w:rsid w:val="00CB3B67"/>
    <w:rsid w:val="00CB7101"/>
    <w:rsid w:val="00CC3B89"/>
    <w:rsid w:val="00CD386D"/>
    <w:rsid w:val="00CD4321"/>
    <w:rsid w:val="00CD58F7"/>
    <w:rsid w:val="00CD64C2"/>
    <w:rsid w:val="00CD6E1B"/>
    <w:rsid w:val="00CD71DD"/>
    <w:rsid w:val="00CE0348"/>
    <w:rsid w:val="00CE1CE6"/>
    <w:rsid w:val="00CE2945"/>
    <w:rsid w:val="00CF128B"/>
    <w:rsid w:val="00CF1D69"/>
    <w:rsid w:val="00CF4805"/>
    <w:rsid w:val="00CF70BC"/>
    <w:rsid w:val="00D01BF3"/>
    <w:rsid w:val="00D03D3D"/>
    <w:rsid w:val="00D04172"/>
    <w:rsid w:val="00D05085"/>
    <w:rsid w:val="00D06EE0"/>
    <w:rsid w:val="00D07696"/>
    <w:rsid w:val="00D0795C"/>
    <w:rsid w:val="00D13FCD"/>
    <w:rsid w:val="00D159E8"/>
    <w:rsid w:val="00D176B7"/>
    <w:rsid w:val="00D22235"/>
    <w:rsid w:val="00D22A1B"/>
    <w:rsid w:val="00D239AF"/>
    <w:rsid w:val="00D26CF9"/>
    <w:rsid w:val="00D27D7B"/>
    <w:rsid w:val="00D31307"/>
    <w:rsid w:val="00D31512"/>
    <w:rsid w:val="00D35A93"/>
    <w:rsid w:val="00D35D58"/>
    <w:rsid w:val="00D3698D"/>
    <w:rsid w:val="00D40320"/>
    <w:rsid w:val="00D40680"/>
    <w:rsid w:val="00D414BD"/>
    <w:rsid w:val="00D4175A"/>
    <w:rsid w:val="00D41B3F"/>
    <w:rsid w:val="00D4493E"/>
    <w:rsid w:val="00D44988"/>
    <w:rsid w:val="00D46B87"/>
    <w:rsid w:val="00D47A25"/>
    <w:rsid w:val="00D50196"/>
    <w:rsid w:val="00D510E1"/>
    <w:rsid w:val="00D538D9"/>
    <w:rsid w:val="00D53A2F"/>
    <w:rsid w:val="00D54D8B"/>
    <w:rsid w:val="00D57424"/>
    <w:rsid w:val="00D609A8"/>
    <w:rsid w:val="00D62C43"/>
    <w:rsid w:val="00D63404"/>
    <w:rsid w:val="00D64C5B"/>
    <w:rsid w:val="00D64D90"/>
    <w:rsid w:val="00D65062"/>
    <w:rsid w:val="00D65657"/>
    <w:rsid w:val="00D66E38"/>
    <w:rsid w:val="00D671F6"/>
    <w:rsid w:val="00D701B1"/>
    <w:rsid w:val="00D7365C"/>
    <w:rsid w:val="00D75539"/>
    <w:rsid w:val="00D778F4"/>
    <w:rsid w:val="00D80795"/>
    <w:rsid w:val="00D812AF"/>
    <w:rsid w:val="00D8319C"/>
    <w:rsid w:val="00D83A33"/>
    <w:rsid w:val="00D83A47"/>
    <w:rsid w:val="00D83CB3"/>
    <w:rsid w:val="00D83CEF"/>
    <w:rsid w:val="00D84975"/>
    <w:rsid w:val="00D84D23"/>
    <w:rsid w:val="00D84E2B"/>
    <w:rsid w:val="00D8589E"/>
    <w:rsid w:val="00D936C5"/>
    <w:rsid w:val="00D950EF"/>
    <w:rsid w:val="00D97FDB"/>
    <w:rsid w:val="00DA618E"/>
    <w:rsid w:val="00DA7D93"/>
    <w:rsid w:val="00DB368F"/>
    <w:rsid w:val="00DB40F9"/>
    <w:rsid w:val="00DB4524"/>
    <w:rsid w:val="00DB535B"/>
    <w:rsid w:val="00DB6B44"/>
    <w:rsid w:val="00DB7D33"/>
    <w:rsid w:val="00DC6549"/>
    <w:rsid w:val="00DC659B"/>
    <w:rsid w:val="00DC697B"/>
    <w:rsid w:val="00DC72AE"/>
    <w:rsid w:val="00DD19E9"/>
    <w:rsid w:val="00DD2DA2"/>
    <w:rsid w:val="00DD456D"/>
    <w:rsid w:val="00DD4BC8"/>
    <w:rsid w:val="00DE0861"/>
    <w:rsid w:val="00DE521C"/>
    <w:rsid w:val="00DE7BE6"/>
    <w:rsid w:val="00DF1C3B"/>
    <w:rsid w:val="00DF2B60"/>
    <w:rsid w:val="00DF2CF3"/>
    <w:rsid w:val="00DF460F"/>
    <w:rsid w:val="00DF4709"/>
    <w:rsid w:val="00DF5012"/>
    <w:rsid w:val="00E0268A"/>
    <w:rsid w:val="00E02EE7"/>
    <w:rsid w:val="00E03429"/>
    <w:rsid w:val="00E05319"/>
    <w:rsid w:val="00E07F2C"/>
    <w:rsid w:val="00E1020B"/>
    <w:rsid w:val="00E1040D"/>
    <w:rsid w:val="00E12329"/>
    <w:rsid w:val="00E12D73"/>
    <w:rsid w:val="00E1309C"/>
    <w:rsid w:val="00E14471"/>
    <w:rsid w:val="00E237E1"/>
    <w:rsid w:val="00E23D37"/>
    <w:rsid w:val="00E2711E"/>
    <w:rsid w:val="00E30081"/>
    <w:rsid w:val="00E31448"/>
    <w:rsid w:val="00E33D4C"/>
    <w:rsid w:val="00E36434"/>
    <w:rsid w:val="00E40CD6"/>
    <w:rsid w:val="00E4282F"/>
    <w:rsid w:val="00E453F8"/>
    <w:rsid w:val="00E47B38"/>
    <w:rsid w:val="00E569AB"/>
    <w:rsid w:val="00E6336D"/>
    <w:rsid w:val="00E64F32"/>
    <w:rsid w:val="00E676EB"/>
    <w:rsid w:val="00E704E3"/>
    <w:rsid w:val="00E710E2"/>
    <w:rsid w:val="00E7307F"/>
    <w:rsid w:val="00E744D6"/>
    <w:rsid w:val="00E76B75"/>
    <w:rsid w:val="00E77017"/>
    <w:rsid w:val="00E773E5"/>
    <w:rsid w:val="00E77ED2"/>
    <w:rsid w:val="00E77F97"/>
    <w:rsid w:val="00E8238C"/>
    <w:rsid w:val="00E87677"/>
    <w:rsid w:val="00E9179D"/>
    <w:rsid w:val="00E924BC"/>
    <w:rsid w:val="00E925F7"/>
    <w:rsid w:val="00E93C9F"/>
    <w:rsid w:val="00E95952"/>
    <w:rsid w:val="00E963FB"/>
    <w:rsid w:val="00E96573"/>
    <w:rsid w:val="00E96B5D"/>
    <w:rsid w:val="00E974BE"/>
    <w:rsid w:val="00EA45D8"/>
    <w:rsid w:val="00EA5297"/>
    <w:rsid w:val="00EA530F"/>
    <w:rsid w:val="00EA77CA"/>
    <w:rsid w:val="00EB32FF"/>
    <w:rsid w:val="00EB6A21"/>
    <w:rsid w:val="00EB6C1F"/>
    <w:rsid w:val="00EC0746"/>
    <w:rsid w:val="00EC344C"/>
    <w:rsid w:val="00ED290F"/>
    <w:rsid w:val="00ED319B"/>
    <w:rsid w:val="00ED33D2"/>
    <w:rsid w:val="00ED3DAD"/>
    <w:rsid w:val="00ED6366"/>
    <w:rsid w:val="00EE0DA9"/>
    <w:rsid w:val="00EE1ABC"/>
    <w:rsid w:val="00EE5E73"/>
    <w:rsid w:val="00EF08C3"/>
    <w:rsid w:val="00EF7F7F"/>
    <w:rsid w:val="00F01066"/>
    <w:rsid w:val="00F01365"/>
    <w:rsid w:val="00F03776"/>
    <w:rsid w:val="00F03B19"/>
    <w:rsid w:val="00F07868"/>
    <w:rsid w:val="00F11D46"/>
    <w:rsid w:val="00F12DD3"/>
    <w:rsid w:val="00F140CF"/>
    <w:rsid w:val="00F140DD"/>
    <w:rsid w:val="00F144BB"/>
    <w:rsid w:val="00F22E33"/>
    <w:rsid w:val="00F231B7"/>
    <w:rsid w:val="00F24745"/>
    <w:rsid w:val="00F24819"/>
    <w:rsid w:val="00F24883"/>
    <w:rsid w:val="00F254FE"/>
    <w:rsid w:val="00F378DD"/>
    <w:rsid w:val="00F4158E"/>
    <w:rsid w:val="00F4163E"/>
    <w:rsid w:val="00F4172F"/>
    <w:rsid w:val="00F440E3"/>
    <w:rsid w:val="00F445AD"/>
    <w:rsid w:val="00F45DBF"/>
    <w:rsid w:val="00F4633A"/>
    <w:rsid w:val="00F50286"/>
    <w:rsid w:val="00F51EC4"/>
    <w:rsid w:val="00F52C92"/>
    <w:rsid w:val="00F53CCD"/>
    <w:rsid w:val="00F54712"/>
    <w:rsid w:val="00F54974"/>
    <w:rsid w:val="00F54E8F"/>
    <w:rsid w:val="00F57D30"/>
    <w:rsid w:val="00F61E18"/>
    <w:rsid w:val="00F62AE0"/>
    <w:rsid w:val="00F649DF"/>
    <w:rsid w:val="00F65D25"/>
    <w:rsid w:val="00F753BB"/>
    <w:rsid w:val="00F7579B"/>
    <w:rsid w:val="00F77C2F"/>
    <w:rsid w:val="00F80945"/>
    <w:rsid w:val="00F83594"/>
    <w:rsid w:val="00F836B7"/>
    <w:rsid w:val="00F855B8"/>
    <w:rsid w:val="00F85825"/>
    <w:rsid w:val="00F85C27"/>
    <w:rsid w:val="00F8778B"/>
    <w:rsid w:val="00F877ED"/>
    <w:rsid w:val="00F909C1"/>
    <w:rsid w:val="00F90F7B"/>
    <w:rsid w:val="00F94A84"/>
    <w:rsid w:val="00FA021B"/>
    <w:rsid w:val="00FA0346"/>
    <w:rsid w:val="00FA0A3D"/>
    <w:rsid w:val="00FA0BA7"/>
    <w:rsid w:val="00FA2956"/>
    <w:rsid w:val="00FA494E"/>
    <w:rsid w:val="00FA4982"/>
    <w:rsid w:val="00FA5E53"/>
    <w:rsid w:val="00FA7035"/>
    <w:rsid w:val="00FB13FF"/>
    <w:rsid w:val="00FB270A"/>
    <w:rsid w:val="00FB339B"/>
    <w:rsid w:val="00FB59AE"/>
    <w:rsid w:val="00FB5FEB"/>
    <w:rsid w:val="00FC09CD"/>
    <w:rsid w:val="00FC17F5"/>
    <w:rsid w:val="00FC189A"/>
    <w:rsid w:val="00FC3C8D"/>
    <w:rsid w:val="00FC4F83"/>
    <w:rsid w:val="00FC5464"/>
    <w:rsid w:val="00FC6D96"/>
    <w:rsid w:val="00FC7275"/>
    <w:rsid w:val="00FC7742"/>
    <w:rsid w:val="00FD1EB1"/>
    <w:rsid w:val="00FD222C"/>
    <w:rsid w:val="00FD4016"/>
    <w:rsid w:val="00FD4C3F"/>
    <w:rsid w:val="00FD7CF1"/>
    <w:rsid w:val="00FE0D4E"/>
    <w:rsid w:val="00FE1D18"/>
    <w:rsid w:val="00FE2BE7"/>
    <w:rsid w:val="00FE3B94"/>
    <w:rsid w:val="00FE546A"/>
    <w:rsid w:val="00FE5660"/>
    <w:rsid w:val="00FE6276"/>
    <w:rsid w:val="00FE6587"/>
    <w:rsid w:val="00FF058C"/>
    <w:rsid w:val="00FF2E23"/>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41E35304"/>
  <w15:chartTrackingRefBased/>
  <w15:docId w15:val="{C1051BDD-37D6-4C1F-9565-927123E53A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636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636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6366"/>
    <w:pPr>
      <w:pBdr>
        <w:top w:val="none" w:sz="0" w:space="0" w:color="auto"/>
      </w:pBdr>
      <w:spacing w:before="180"/>
      <w:outlineLvl w:val="1"/>
    </w:pPr>
    <w:rPr>
      <w:sz w:val="32"/>
    </w:rPr>
  </w:style>
  <w:style w:type="paragraph" w:styleId="Heading3">
    <w:name w:val="heading 3"/>
    <w:basedOn w:val="Heading2"/>
    <w:next w:val="Normal"/>
    <w:qFormat/>
    <w:rsid w:val="00ED6366"/>
    <w:pPr>
      <w:spacing w:before="120"/>
      <w:outlineLvl w:val="2"/>
    </w:pPr>
    <w:rPr>
      <w:sz w:val="28"/>
    </w:rPr>
  </w:style>
  <w:style w:type="paragraph" w:styleId="Heading4">
    <w:name w:val="heading 4"/>
    <w:basedOn w:val="Heading3"/>
    <w:next w:val="Normal"/>
    <w:qFormat/>
    <w:rsid w:val="00ED6366"/>
    <w:pPr>
      <w:ind w:left="1418" w:hanging="1418"/>
      <w:outlineLvl w:val="3"/>
    </w:pPr>
    <w:rPr>
      <w:sz w:val="24"/>
    </w:rPr>
  </w:style>
  <w:style w:type="paragraph" w:styleId="Heading5">
    <w:name w:val="heading 5"/>
    <w:basedOn w:val="Heading4"/>
    <w:next w:val="Normal"/>
    <w:qFormat/>
    <w:rsid w:val="00ED6366"/>
    <w:pPr>
      <w:ind w:left="1701" w:hanging="1701"/>
      <w:outlineLvl w:val="4"/>
    </w:pPr>
    <w:rPr>
      <w:sz w:val="22"/>
    </w:rPr>
  </w:style>
  <w:style w:type="paragraph" w:styleId="Heading6">
    <w:name w:val="heading 6"/>
    <w:basedOn w:val="H6"/>
    <w:next w:val="Normal"/>
    <w:qFormat/>
    <w:rsid w:val="00ED6366"/>
    <w:pPr>
      <w:outlineLvl w:val="5"/>
    </w:pPr>
  </w:style>
  <w:style w:type="paragraph" w:styleId="Heading7">
    <w:name w:val="heading 7"/>
    <w:basedOn w:val="H6"/>
    <w:next w:val="Normal"/>
    <w:qFormat/>
    <w:rsid w:val="00ED6366"/>
    <w:pPr>
      <w:outlineLvl w:val="6"/>
    </w:pPr>
  </w:style>
  <w:style w:type="paragraph" w:styleId="Heading8">
    <w:name w:val="heading 8"/>
    <w:basedOn w:val="Heading1"/>
    <w:next w:val="Normal"/>
    <w:link w:val="Heading8Char"/>
    <w:qFormat/>
    <w:rsid w:val="00ED6366"/>
    <w:pPr>
      <w:ind w:left="0" w:firstLine="0"/>
      <w:outlineLvl w:val="7"/>
    </w:pPr>
  </w:style>
  <w:style w:type="paragraph" w:styleId="Heading9">
    <w:name w:val="heading 9"/>
    <w:basedOn w:val="Heading8"/>
    <w:next w:val="Normal"/>
    <w:link w:val="Heading9Char"/>
    <w:qFormat/>
    <w:rsid w:val="00ED63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6366"/>
    <w:pPr>
      <w:ind w:left="1985" w:hanging="1985"/>
      <w:outlineLvl w:val="9"/>
    </w:pPr>
    <w:rPr>
      <w:sz w:val="20"/>
    </w:rPr>
  </w:style>
  <w:style w:type="paragraph" w:styleId="TOC9">
    <w:name w:val="toc 9"/>
    <w:basedOn w:val="TOC8"/>
    <w:uiPriority w:val="39"/>
    <w:rsid w:val="00ED6366"/>
    <w:pPr>
      <w:ind w:left="1418" w:hanging="1418"/>
    </w:pPr>
  </w:style>
  <w:style w:type="paragraph" w:styleId="TOC8">
    <w:name w:val="toc 8"/>
    <w:basedOn w:val="TOC1"/>
    <w:rsid w:val="00ED6366"/>
    <w:pPr>
      <w:spacing w:before="180"/>
      <w:ind w:left="2693" w:hanging="2693"/>
    </w:pPr>
    <w:rPr>
      <w:b/>
    </w:rPr>
  </w:style>
  <w:style w:type="paragraph" w:styleId="TOC1">
    <w:name w:val="toc 1"/>
    <w:uiPriority w:val="39"/>
    <w:rsid w:val="00ED636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D6366"/>
    <w:pPr>
      <w:keepLines/>
      <w:tabs>
        <w:tab w:val="center" w:pos="4536"/>
        <w:tab w:val="right" w:pos="9072"/>
      </w:tabs>
    </w:pPr>
    <w:rPr>
      <w:noProof/>
    </w:rPr>
  </w:style>
  <w:style w:type="character" w:customStyle="1" w:styleId="ZGSM">
    <w:name w:val="ZGSM"/>
    <w:rsid w:val="00ED6366"/>
  </w:style>
  <w:style w:type="paragraph" w:styleId="Header">
    <w:name w:val="header"/>
    <w:rsid w:val="00ED6366"/>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ED636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ED6366"/>
    <w:pPr>
      <w:ind w:left="1701" w:hanging="1701"/>
    </w:pPr>
  </w:style>
  <w:style w:type="paragraph" w:styleId="TOC4">
    <w:name w:val="toc 4"/>
    <w:basedOn w:val="TOC3"/>
    <w:uiPriority w:val="39"/>
    <w:rsid w:val="00ED6366"/>
    <w:pPr>
      <w:ind w:left="1418" w:hanging="1418"/>
    </w:pPr>
  </w:style>
  <w:style w:type="paragraph" w:styleId="TOC3">
    <w:name w:val="toc 3"/>
    <w:basedOn w:val="TOC2"/>
    <w:uiPriority w:val="39"/>
    <w:rsid w:val="00ED6366"/>
    <w:pPr>
      <w:ind w:left="1134" w:hanging="1134"/>
    </w:pPr>
  </w:style>
  <w:style w:type="paragraph" w:styleId="TOC2">
    <w:name w:val="toc 2"/>
    <w:basedOn w:val="TOC1"/>
    <w:uiPriority w:val="39"/>
    <w:rsid w:val="00ED6366"/>
    <w:pPr>
      <w:spacing w:before="0"/>
      <w:ind w:left="851" w:hanging="851"/>
    </w:pPr>
    <w:rPr>
      <w:sz w:val="20"/>
    </w:rPr>
  </w:style>
  <w:style w:type="paragraph" w:styleId="Index1">
    <w:name w:val="index 1"/>
    <w:basedOn w:val="Normal"/>
    <w:semiHidden/>
    <w:rsid w:val="00ED6366"/>
    <w:pPr>
      <w:keepLines/>
    </w:pPr>
  </w:style>
  <w:style w:type="paragraph" w:styleId="Index2">
    <w:name w:val="index 2"/>
    <w:basedOn w:val="Index1"/>
    <w:semiHidden/>
    <w:rsid w:val="00ED6366"/>
    <w:pPr>
      <w:ind w:left="284"/>
    </w:pPr>
  </w:style>
  <w:style w:type="paragraph" w:customStyle="1" w:styleId="TT">
    <w:name w:val="TT"/>
    <w:basedOn w:val="Heading1"/>
    <w:next w:val="Normal"/>
    <w:rsid w:val="00ED6366"/>
    <w:pPr>
      <w:outlineLvl w:val="9"/>
    </w:pPr>
  </w:style>
  <w:style w:type="paragraph" w:styleId="Footer">
    <w:name w:val="footer"/>
    <w:basedOn w:val="Header"/>
    <w:link w:val="FooterChar"/>
    <w:rsid w:val="00ED6366"/>
    <w:pPr>
      <w:jc w:val="center"/>
    </w:pPr>
    <w:rPr>
      <w:i/>
    </w:rPr>
  </w:style>
  <w:style w:type="character" w:styleId="FootnoteReference">
    <w:name w:val="footnote reference"/>
    <w:basedOn w:val="DefaultParagraphFont"/>
    <w:semiHidden/>
    <w:rsid w:val="00ED6366"/>
    <w:rPr>
      <w:b/>
      <w:position w:val="6"/>
      <w:sz w:val="16"/>
    </w:rPr>
  </w:style>
  <w:style w:type="paragraph" w:styleId="FootnoteText">
    <w:name w:val="footnote text"/>
    <w:basedOn w:val="Normal"/>
    <w:semiHidden/>
    <w:rsid w:val="00ED6366"/>
    <w:pPr>
      <w:keepLines/>
      <w:ind w:left="454" w:hanging="454"/>
    </w:pPr>
    <w:rPr>
      <w:sz w:val="16"/>
    </w:rPr>
  </w:style>
  <w:style w:type="paragraph" w:customStyle="1" w:styleId="NF">
    <w:name w:val="NF"/>
    <w:basedOn w:val="NO"/>
    <w:rsid w:val="00ED6366"/>
    <w:pPr>
      <w:keepNext/>
      <w:spacing w:after="0"/>
    </w:pPr>
    <w:rPr>
      <w:rFonts w:ascii="Arial" w:hAnsi="Arial"/>
      <w:sz w:val="18"/>
    </w:rPr>
  </w:style>
  <w:style w:type="paragraph" w:customStyle="1" w:styleId="NO">
    <w:name w:val="NO"/>
    <w:basedOn w:val="Normal"/>
    <w:link w:val="NOChar"/>
    <w:rsid w:val="00ED6366"/>
    <w:pPr>
      <w:keepLines/>
      <w:ind w:left="1135" w:hanging="851"/>
    </w:pPr>
  </w:style>
  <w:style w:type="paragraph" w:customStyle="1" w:styleId="PL">
    <w:name w:val="PL"/>
    <w:rsid w:val="00ED63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D6366"/>
    <w:pPr>
      <w:jc w:val="right"/>
    </w:pPr>
  </w:style>
  <w:style w:type="paragraph" w:customStyle="1" w:styleId="TAL">
    <w:name w:val="TAL"/>
    <w:basedOn w:val="Normal"/>
    <w:rsid w:val="00ED6366"/>
    <w:pPr>
      <w:keepNext/>
      <w:keepLines/>
      <w:spacing w:after="0"/>
    </w:pPr>
    <w:rPr>
      <w:rFonts w:ascii="Arial" w:hAnsi="Arial"/>
      <w:sz w:val="18"/>
    </w:rPr>
  </w:style>
  <w:style w:type="paragraph" w:styleId="ListNumber2">
    <w:name w:val="List Number 2"/>
    <w:basedOn w:val="ListNumber"/>
    <w:rsid w:val="00ED6366"/>
    <w:pPr>
      <w:ind w:left="851"/>
    </w:pPr>
  </w:style>
  <w:style w:type="paragraph" w:styleId="ListNumber">
    <w:name w:val="List Number"/>
    <w:basedOn w:val="List"/>
    <w:rsid w:val="00ED6366"/>
  </w:style>
  <w:style w:type="paragraph" w:styleId="List">
    <w:name w:val="List"/>
    <w:basedOn w:val="Normal"/>
    <w:rsid w:val="00ED6366"/>
    <w:pPr>
      <w:ind w:left="568" w:hanging="284"/>
    </w:pPr>
  </w:style>
  <w:style w:type="paragraph" w:customStyle="1" w:styleId="TAH">
    <w:name w:val="TAH"/>
    <w:basedOn w:val="TAC"/>
    <w:rsid w:val="00ED6366"/>
    <w:rPr>
      <w:b/>
    </w:rPr>
  </w:style>
  <w:style w:type="paragraph" w:customStyle="1" w:styleId="TAC">
    <w:name w:val="TAC"/>
    <w:basedOn w:val="TAL"/>
    <w:rsid w:val="00ED6366"/>
    <w:pPr>
      <w:jc w:val="center"/>
    </w:pPr>
  </w:style>
  <w:style w:type="paragraph" w:customStyle="1" w:styleId="LD">
    <w:name w:val="LD"/>
    <w:rsid w:val="00ED636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D6366"/>
    <w:pPr>
      <w:keepLines/>
      <w:ind w:left="1702" w:hanging="1418"/>
    </w:pPr>
  </w:style>
  <w:style w:type="paragraph" w:customStyle="1" w:styleId="FP">
    <w:name w:val="FP"/>
    <w:basedOn w:val="Normal"/>
    <w:rsid w:val="00ED6366"/>
    <w:pPr>
      <w:spacing w:after="0"/>
    </w:pPr>
  </w:style>
  <w:style w:type="paragraph" w:customStyle="1" w:styleId="NW">
    <w:name w:val="NW"/>
    <w:basedOn w:val="NO"/>
    <w:rsid w:val="00ED6366"/>
    <w:pPr>
      <w:spacing w:after="0"/>
    </w:pPr>
  </w:style>
  <w:style w:type="paragraph" w:customStyle="1" w:styleId="EW">
    <w:name w:val="EW"/>
    <w:basedOn w:val="EX"/>
    <w:rsid w:val="00ED6366"/>
    <w:pPr>
      <w:spacing w:after="0"/>
    </w:pPr>
  </w:style>
  <w:style w:type="paragraph" w:customStyle="1" w:styleId="B10">
    <w:name w:val="B1"/>
    <w:basedOn w:val="List"/>
    <w:rsid w:val="00ED6366"/>
    <w:pPr>
      <w:ind w:left="738" w:hanging="454"/>
    </w:pPr>
  </w:style>
  <w:style w:type="paragraph" w:styleId="TOC6">
    <w:name w:val="toc 6"/>
    <w:basedOn w:val="TOC5"/>
    <w:next w:val="Normal"/>
    <w:semiHidden/>
    <w:rsid w:val="00ED6366"/>
    <w:pPr>
      <w:ind w:left="1985" w:hanging="1985"/>
    </w:pPr>
  </w:style>
  <w:style w:type="paragraph" w:styleId="TOC7">
    <w:name w:val="toc 7"/>
    <w:basedOn w:val="TOC6"/>
    <w:next w:val="Normal"/>
    <w:semiHidden/>
    <w:rsid w:val="00ED6366"/>
    <w:pPr>
      <w:ind w:left="2268" w:hanging="2268"/>
    </w:pPr>
  </w:style>
  <w:style w:type="paragraph" w:styleId="ListBullet2">
    <w:name w:val="List Bullet 2"/>
    <w:basedOn w:val="ListBullet"/>
    <w:rsid w:val="00ED6366"/>
    <w:pPr>
      <w:ind w:left="851"/>
    </w:pPr>
  </w:style>
  <w:style w:type="paragraph" w:styleId="ListBullet">
    <w:name w:val="List Bullet"/>
    <w:basedOn w:val="List"/>
    <w:rsid w:val="00ED6366"/>
  </w:style>
  <w:style w:type="paragraph" w:customStyle="1" w:styleId="EditorsNote">
    <w:name w:val="Editor's Note"/>
    <w:basedOn w:val="NO"/>
    <w:rsid w:val="00ED6366"/>
    <w:rPr>
      <w:color w:val="FF0000"/>
    </w:rPr>
  </w:style>
  <w:style w:type="paragraph" w:customStyle="1" w:styleId="TH">
    <w:name w:val="TH"/>
    <w:basedOn w:val="FL"/>
    <w:next w:val="FL"/>
    <w:rsid w:val="00ED6366"/>
  </w:style>
  <w:style w:type="paragraph" w:customStyle="1" w:styleId="ZA">
    <w:name w:val="ZA"/>
    <w:rsid w:val="00ED636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636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636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D636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6366"/>
    <w:pPr>
      <w:ind w:left="851" w:hanging="851"/>
    </w:pPr>
  </w:style>
  <w:style w:type="paragraph" w:customStyle="1" w:styleId="ZH">
    <w:name w:val="ZH"/>
    <w:rsid w:val="00ED636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ED6366"/>
    <w:pPr>
      <w:keepNext w:val="0"/>
      <w:spacing w:before="0" w:after="240"/>
    </w:pPr>
  </w:style>
  <w:style w:type="paragraph" w:customStyle="1" w:styleId="ZG">
    <w:name w:val="ZG"/>
    <w:rsid w:val="00ED636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D6366"/>
    <w:pPr>
      <w:ind w:left="1135"/>
    </w:pPr>
  </w:style>
  <w:style w:type="paragraph" w:styleId="List2">
    <w:name w:val="List 2"/>
    <w:basedOn w:val="List"/>
    <w:rsid w:val="00ED6366"/>
    <w:pPr>
      <w:ind w:left="851"/>
    </w:pPr>
  </w:style>
  <w:style w:type="paragraph" w:styleId="List3">
    <w:name w:val="List 3"/>
    <w:basedOn w:val="List2"/>
    <w:rsid w:val="00ED6366"/>
    <w:pPr>
      <w:ind w:left="1135"/>
    </w:pPr>
  </w:style>
  <w:style w:type="paragraph" w:styleId="List4">
    <w:name w:val="List 4"/>
    <w:basedOn w:val="List3"/>
    <w:rsid w:val="00ED6366"/>
    <w:pPr>
      <w:ind w:left="1418"/>
    </w:pPr>
  </w:style>
  <w:style w:type="paragraph" w:styleId="List5">
    <w:name w:val="List 5"/>
    <w:basedOn w:val="List4"/>
    <w:rsid w:val="00ED6366"/>
    <w:pPr>
      <w:ind w:left="1702"/>
    </w:pPr>
  </w:style>
  <w:style w:type="paragraph" w:styleId="ListBullet4">
    <w:name w:val="List Bullet 4"/>
    <w:basedOn w:val="ListBullet3"/>
    <w:rsid w:val="00ED6366"/>
    <w:pPr>
      <w:ind w:left="1418"/>
    </w:pPr>
  </w:style>
  <w:style w:type="paragraph" w:styleId="ListBullet5">
    <w:name w:val="List Bullet 5"/>
    <w:basedOn w:val="ListBullet4"/>
    <w:rsid w:val="00ED6366"/>
    <w:pPr>
      <w:ind w:left="1702"/>
    </w:pPr>
  </w:style>
  <w:style w:type="paragraph" w:customStyle="1" w:styleId="B20">
    <w:name w:val="B2"/>
    <w:basedOn w:val="List2"/>
    <w:rsid w:val="00ED6366"/>
    <w:pPr>
      <w:ind w:left="1191" w:hanging="454"/>
    </w:pPr>
  </w:style>
  <w:style w:type="paragraph" w:customStyle="1" w:styleId="B30">
    <w:name w:val="B3"/>
    <w:basedOn w:val="List3"/>
    <w:rsid w:val="00ED6366"/>
    <w:pPr>
      <w:ind w:left="1645" w:hanging="454"/>
    </w:pPr>
  </w:style>
  <w:style w:type="paragraph" w:customStyle="1" w:styleId="B4">
    <w:name w:val="B4"/>
    <w:basedOn w:val="List4"/>
    <w:rsid w:val="00ED6366"/>
    <w:pPr>
      <w:ind w:left="2098" w:hanging="454"/>
    </w:pPr>
  </w:style>
  <w:style w:type="paragraph" w:customStyle="1" w:styleId="B5">
    <w:name w:val="B5"/>
    <w:basedOn w:val="List5"/>
    <w:rsid w:val="00ED6366"/>
    <w:pPr>
      <w:ind w:left="2552" w:hanging="454"/>
    </w:pPr>
  </w:style>
  <w:style w:type="paragraph" w:customStyle="1" w:styleId="ZTD">
    <w:name w:val="ZTD"/>
    <w:basedOn w:val="ZB"/>
    <w:rsid w:val="00ED6366"/>
    <w:pPr>
      <w:framePr w:hRule="auto" w:wrap="notBeside" w:y="852"/>
    </w:pPr>
    <w:rPr>
      <w:i w:val="0"/>
      <w:sz w:val="40"/>
    </w:rPr>
  </w:style>
  <w:style w:type="paragraph" w:customStyle="1" w:styleId="ZV">
    <w:name w:val="ZV"/>
    <w:basedOn w:val="ZU"/>
    <w:rsid w:val="00ED636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sid w:val="00844F29"/>
    <w:rPr>
      <w:i/>
      <w:color w:val="76923C"/>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D6366"/>
    <w:pPr>
      <w:numPr>
        <w:numId w:val="3"/>
      </w:numPr>
      <w:tabs>
        <w:tab w:val="left" w:pos="1134"/>
      </w:tabs>
    </w:pPr>
  </w:style>
  <w:style w:type="paragraph" w:customStyle="1" w:styleId="B1">
    <w:name w:val="B1+"/>
    <w:basedOn w:val="B10"/>
    <w:rsid w:val="00ED6366"/>
    <w:pPr>
      <w:numPr>
        <w:numId w:val="1"/>
      </w:numPr>
    </w:pPr>
  </w:style>
  <w:style w:type="paragraph" w:customStyle="1" w:styleId="B2">
    <w:name w:val="B2+"/>
    <w:basedOn w:val="B20"/>
    <w:rsid w:val="00ED6366"/>
    <w:pPr>
      <w:numPr>
        <w:numId w:val="2"/>
      </w:numPr>
    </w:pPr>
  </w:style>
  <w:style w:type="paragraph" w:customStyle="1" w:styleId="BL">
    <w:name w:val="BL"/>
    <w:basedOn w:val="Normal"/>
    <w:rsid w:val="00ED6366"/>
    <w:pPr>
      <w:numPr>
        <w:numId w:val="5"/>
      </w:numPr>
      <w:tabs>
        <w:tab w:val="left" w:pos="851"/>
      </w:tabs>
    </w:pPr>
  </w:style>
  <w:style w:type="paragraph" w:customStyle="1" w:styleId="BN">
    <w:name w:val="BN"/>
    <w:basedOn w:val="Normal"/>
    <w:rsid w:val="00ED6366"/>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D6366"/>
    <w:pPr>
      <w:keepNext/>
      <w:keepLines/>
      <w:spacing w:after="0"/>
      <w:jc w:val="both"/>
    </w:pPr>
    <w:rPr>
      <w:rFonts w:ascii="Arial" w:hAnsi="Arial"/>
      <w:sz w:val="18"/>
    </w:rPr>
  </w:style>
  <w:style w:type="paragraph" w:customStyle="1" w:styleId="FL">
    <w:name w:val="FL"/>
    <w:basedOn w:val="Normal"/>
    <w:rsid w:val="00ED6366"/>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character" w:customStyle="1" w:styleId="Heading1Char">
    <w:name w:val="Heading 1 Char"/>
    <w:link w:val="Heading1"/>
    <w:rsid w:val="00260104"/>
    <w:rPr>
      <w:rFonts w:ascii="Arial" w:hAnsi="Arial"/>
      <w:sz w:val="36"/>
      <w:lang w:eastAsia="en-US"/>
    </w:rPr>
  </w:style>
  <w:style w:type="character" w:customStyle="1" w:styleId="Heading9Char">
    <w:name w:val="Heading 9 Char"/>
    <w:link w:val="Heading9"/>
    <w:rsid w:val="00260104"/>
    <w:rPr>
      <w:rFonts w:ascii="Arial" w:hAnsi="Arial"/>
      <w:sz w:val="36"/>
      <w:lang w:eastAsia="en-US"/>
    </w:rPr>
  </w:style>
  <w:style w:type="character" w:customStyle="1" w:styleId="Heading8Char">
    <w:name w:val="Heading 8 Char"/>
    <w:link w:val="Heading8"/>
    <w:rsid w:val="00172200"/>
    <w:rPr>
      <w:rFonts w:ascii="Arial" w:hAnsi="Arial"/>
      <w:sz w:val="36"/>
      <w:lang w:eastAsia="en-US"/>
    </w:rPr>
  </w:style>
  <w:style w:type="paragraph" w:customStyle="1" w:styleId="INDENT1">
    <w:name w:val="INDENT1"/>
    <w:basedOn w:val="Normal"/>
    <w:rsid w:val="0082119F"/>
    <w:pPr>
      <w:spacing w:after="0"/>
      <w:ind w:left="851"/>
    </w:pPr>
  </w:style>
  <w:style w:type="paragraph" w:customStyle="1" w:styleId="TB1">
    <w:name w:val="TB1"/>
    <w:basedOn w:val="Normal"/>
    <w:qFormat/>
    <w:rsid w:val="00ED6366"/>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ED6366"/>
    <w:pPr>
      <w:keepNext/>
      <w:keepLines/>
      <w:numPr>
        <w:numId w:val="10"/>
      </w:numPr>
      <w:tabs>
        <w:tab w:val="left" w:pos="1109"/>
      </w:tabs>
      <w:spacing w:after="0"/>
      <w:ind w:left="1100" w:hanging="380"/>
    </w:pPr>
    <w:rPr>
      <w:rFonts w:ascii="Arial" w:hAnsi="Arial"/>
      <w:sz w:val="18"/>
    </w:rPr>
  </w:style>
  <w:style w:type="paragraph" w:styleId="Revision">
    <w:name w:val="Revision"/>
    <w:hidden/>
    <w:uiPriority w:val="99"/>
    <w:semiHidden/>
    <w:rsid w:val="004464A7"/>
    <w:rPr>
      <w:lang w:eastAsia="en-US"/>
    </w:rPr>
  </w:style>
  <w:style w:type="paragraph" w:styleId="CommentSubject">
    <w:name w:val="annotation subject"/>
    <w:basedOn w:val="CommentText"/>
    <w:next w:val="CommentText"/>
    <w:link w:val="CommentSubjectChar"/>
    <w:rsid w:val="00A63A9E"/>
    <w:rPr>
      <w:b/>
      <w:bCs/>
    </w:rPr>
  </w:style>
  <w:style w:type="character" w:customStyle="1" w:styleId="CommentTextChar">
    <w:name w:val="Comment Text Char"/>
    <w:basedOn w:val="DefaultParagraphFont"/>
    <w:link w:val="CommentText"/>
    <w:semiHidden/>
    <w:rsid w:val="00A63A9E"/>
    <w:rPr>
      <w:lang w:eastAsia="en-US"/>
    </w:rPr>
  </w:style>
  <w:style w:type="character" w:customStyle="1" w:styleId="CommentSubjectChar">
    <w:name w:val="Comment Subject Char"/>
    <w:basedOn w:val="CommentTextChar"/>
    <w:link w:val="CommentSubject"/>
    <w:rsid w:val="00A63A9E"/>
    <w:rPr>
      <w:b/>
      <w:bCs/>
      <w:lang w:eastAsia="en-US"/>
    </w:rPr>
  </w:style>
  <w:style w:type="paragraph" w:styleId="ListParagraph">
    <w:name w:val="List Paragraph"/>
    <w:basedOn w:val="Normal"/>
    <w:uiPriority w:val="34"/>
    <w:qFormat/>
    <w:rsid w:val="00F8778B"/>
    <w:pPr>
      <w:ind w:left="720"/>
      <w:contextualSpacing/>
    </w:pPr>
  </w:style>
  <w:style w:type="character" w:styleId="PlaceholderText">
    <w:name w:val="Placeholder Text"/>
    <w:basedOn w:val="DefaultParagraphFont"/>
    <w:uiPriority w:val="99"/>
    <w:semiHidden/>
    <w:rsid w:val="00C6215B"/>
    <w:rPr>
      <w:color w:val="808080"/>
    </w:rPr>
  </w:style>
  <w:style w:type="character" w:customStyle="1" w:styleId="UnresolvedMention1">
    <w:name w:val="Unresolved Mention1"/>
    <w:basedOn w:val="DefaultParagraphFont"/>
    <w:uiPriority w:val="99"/>
    <w:semiHidden/>
    <w:unhideWhenUsed/>
    <w:rsid w:val="001561C7"/>
    <w:rPr>
      <w:color w:val="605E5C"/>
      <w:shd w:val="clear" w:color="auto" w:fill="E1DFDD"/>
    </w:rPr>
  </w:style>
  <w:style w:type="paragraph" w:customStyle="1" w:styleId="MTDisplayEquation">
    <w:name w:val="MTDisplayEquation"/>
    <w:basedOn w:val="Normal"/>
    <w:next w:val="Normal"/>
    <w:link w:val="MTDisplayEquationZchn"/>
    <w:rsid w:val="00AF69BF"/>
    <w:pPr>
      <w:tabs>
        <w:tab w:val="center" w:pos="4540"/>
        <w:tab w:val="right" w:pos="9080"/>
      </w:tabs>
      <w:overflowPunct/>
      <w:autoSpaceDE/>
      <w:autoSpaceDN/>
      <w:adjustRightInd/>
      <w:spacing w:after="200" w:line="276" w:lineRule="auto"/>
      <w:textAlignment w:val="auto"/>
    </w:pPr>
    <w:rPr>
      <w:rFonts w:asciiTheme="minorHAnsi" w:eastAsiaTheme="minorHAnsi" w:hAnsiTheme="minorHAnsi" w:cstheme="minorBidi"/>
      <w:sz w:val="22"/>
      <w:szCs w:val="22"/>
      <w:lang w:val="en-US"/>
    </w:rPr>
  </w:style>
  <w:style w:type="character" w:customStyle="1" w:styleId="MTDisplayEquationZchn">
    <w:name w:val="MTDisplayEquation Zchn"/>
    <w:basedOn w:val="DefaultParagraphFont"/>
    <w:link w:val="MTDisplayEquation"/>
    <w:rsid w:val="00AF69BF"/>
    <w:rPr>
      <w:rFonts w:asciiTheme="minorHAnsi" w:eastAsiaTheme="minorHAnsi" w:hAnsiTheme="minorHAnsi" w:cstheme="minorBidi"/>
      <w:sz w:val="22"/>
      <w:szCs w:val="22"/>
      <w:lang w:val="en-US" w:eastAsia="en-US"/>
    </w:rPr>
  </w:style>
  <w:style w:type="paragraph" w:styleId="NoSpacing">
    <w:name w:val="No Spacing"/>
    <w:uiPriority w:val="1"/>
    <w:qFormat/>
    <w:rsid w:val="00AF69BF"/>
    <w:rPr>
      <w:rFonts w:asciiTheme="minorHAnsi" w:eastAsiaTheme="minorHAnsi" w:hAnsiTheme="minorHAnsi" w:cstheme="minorBidi"/>
      <w:sz w:val="22"/>
      <w:szCs w:val="22"/>
      <w:lang w:eastAsia="en-US"/>
    </w:rPr>
  </w:style>
  <w:style w:type="character" w:customStyle="1" w:styleId="Mencinsinresolver1">
    <w:name w:val="Mención sin resolver1"/>
    <w:basedOn w:val="DefaultParagraphFont"/>
    <w:uiPriority w:val="99"/>
    <w:semiHidden/>
    <w:unhideWhenUsed/>
    <w:rsid w:val="00434AB8"/>
    <w:rPr>
      <w:color w:val="605E5C"/>
      <w:shd w:val="clear" w:color="auto" w:fill="E1DFDD"/>
    </w:rPr>
  </w:style>
  <w:style w:type="table" w:styleId="TableGrid">
    <w:name w:val="Table Grid"/>
    <w:basedOn w:val="TableNormal"/>
    <w:rsid w:val="00045B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9042C0"/>
    <w:rPr>
      <w:color w:val="605E5C"/>
      <w:shd w:val="clear" w:color="auto" w:fill="E1DFDD"/>
    </w:rPr>
  </w:style>
  <w:style w:type="character" w:customStyle="1" w:styleId="Mencinsinresolver2">
    <w:name w:val="Mención sin resolver2"/>
    <w:basedOn w:val="DefaultParagraphFont"/>
    <w:uiPriority w:val="99"/>
    <w:semiHidden/>
    <w:unhideWhenUsed/>
    <w:rsid w:val="003C1F08"/>
    <w:rPr>
      <w:color w:val="605E5C"/>
      <w:shd w:val="clear" w:color="auto" w:fill="E1DFDD"/>
    </w:rPr>
  </w:style>
  <w:style w:type="character" w:styleId="UnresolvedMention">
    <w:name w:val="Unresolved Mention"/>
    <w:basedOn w:val="DefaultParagraphFont"/>
    <w:uiPriority w:val="99"/>
    <w:semiHidden/>
    <w:unhideWhenUsed/>
    <w:rsid w:val="00D83C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036464">
      <w:bodyDiv w:val="1"/>
      <w:marLeft w:val="0"/>
      <w:marRight w:val="0"/>
      <w:marTop w:val="0"/>
      <w:marBottom w:val="0"/>
      <w:divBdr>
        <w:top w:val="none" w:sz="0" w:space="0" w:color="auto"/>
        <w:left w:val="none" w:sz="0" w:space="0" w:color="auto"/>
        <w:bottom w:val="none" w:sz="0" w:space="0" w:color="auto"/>
        <w:right w:val="none" w:sz="0" w:space="0" w:color="auto"/>
      </w:divBdr>
    </w:div>
    <w:div w:id="256644700">
      <w:bodyDiv w:val="1"/>
      <w:marLeft w:val="0"/>
      <w:marRight w:val="0"/>
      <w:marTop w:val="0"/>
      <w:marBottom w:val="0"/>
      <w:divBdr>
        <w:top w:val="none" w:sz="0" w:space="0" w:color="auto"/>
        <w:left w:val="none" w:sz="0" w:space="0" w:color="auto"/>
        <w:bottom w:val="none" w:sz="0" w:space="0" w:color="auto"/>
        <w:right w:val="none" w:sz="0" w:space="0" w:color="auto"/>
      </w:divBdr>
      <w:divsChild>
        <w:div w:id="773135224">
          <w:marLeft w:val="0"/>
          <w:marRight w:val="0"/>
          <w:marTop w:val="0"/>
          <w:marBottom w:val="180"/>
          <w:divBdr>
            <w:top w:val="none" w:sz="0" w:space="0" w:color="auto"/>
            <w:left w:val="none" w:sz="0" w:space="0" w:color="auto"/>
            <w:bottom w:val="none" w:sz="0" w:space="0" w:color="auto"/>
            <w:right w:val="none" w:sz="0" w:space="0" w:color="auto"/>
          </w:divBdr>
        </w:div>
        <w:div w:id="1701395200">
          <w:marLeft w:val="0"/>
          <w:marRight w:val="0"/>
          <w:marTop w:val="0"/>
          <w:marBottom w:val="180"/>
          <w:divBdr>
            <w:top w:val="none" w:sz="0" w:space="0" w:color="auto"/>
            <w:left w:val="none" w:sz="0" w:space="0" w:color="auto"/>
            <w:bottom w:val="none" w:sz="0" w:space="0" w:color="auto"/>
            <w:right w:val="none" w:sz="0" w:space="0" w:color="auto"/>
          </w:divBdr>
        </w:div>
      </w:divsChild>
    </w:div>
    <w:div w:id="421223249">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08846075">
      <w:bodyDiv w:val="1"/>
      <w:marLeft w:val="0"/>
      <w:marRight w:val="0"/>
      <w:marTop w:val="0"/>
      <w:marBottom w:val="0"/>
      <w:divBdr>
        <w:top w:val="none" w:sz="0" w:space="0" w:color="auto"/>
        <w:left w:val="none" w:sz="0" w:space="0" w:color="auto"/>
        <w:bottom w:val="none" w:sz="0" w:space="0" w:color="auto"/>
        <w:right w:val="none" w:sz="0" w:space="0" w:color="auto"/>
      </w:divBdr>
    </w:div>
    <w:div w:id="965697308">
      <w:bodyDiv w:val="1"/>
      <w:marLeft w:val="0"/>
      <w:marRight w:val="0"/>
      <w:marTop w:val="0"/>
      <w:marBottom w:val="0"/>
      <w:divBdr>
        <w:top w:val="none" w:sz="0" w:space="0" w:color="auto"/>
        <w:left w:val="none" w:sz="0" w:space="0" w:color="auto"/>
        <w:bottom w:val="none" w:sz="0" w:space="0" w:color="auto"/>
        <w:right w:val="none" w:sz="0" w:space="0" w:color="auto"/>
      </w:divBdr>
      <w:divsChild>
        <w:div w:id="1153762892">
          <w:marLeft w:val="0"/>
          <w:marRight w:val="0"/>
          <w:marTop w:val="0"/>
          <w:marBottom w:val="0"/>
          <w:divBdr>
            <w:top w:val="none" w:sz="0" w:space="0" w:color="auto"/>
            <w:left w:val="none" w:sz="0" w:space="0" w:color="auto"/>
            <w:bottom w:val="none" w:sz="0" w:space="0" w:color="auto"/>
            <w:right w:val="none" w:sz="0" w:space="0" w:color="auto"/>
          </w:divBdr>
        </w:div>
        <w:div w:id="1841433433">
          <w:marLeft w:val="0"/>
          <w:marRight w:val="0"/>
          <w:marTop w:val="0"/>
          <w:marBottom w:val="0"/>
          <w:divBdr>
            <w:top w:val="none" w:sz="0" w:space="0" w:color="auto"/>
            <w:left w:val="none" w:sz="0" w:space="0" w:color="auto"/>
            <w:bottom w:val="none" w:sz="0" w:space="0" w:color="auto"/>
            <w:right w:val="none" w:sz="0" w:space="0" w:color="auto"/>
          </w:divBdr>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288511616">
      <w:bodyDiv w:val="1"/>
      <w:marLeft w:val="0"/>
      <w:marRight w:val="0"/>
      <w:marTop w:val="0"/>
      <w:marBottom w:val="0"/>
      <w:divBdr>
        <w:top w:val="none" w:sz="0" w:space="0" w:color="auto"/>
        <w:left w:val="none" w:sz="0" w:space="0" w:color="auto"/>
        <w:bottom w:val="none" w:sz="0" w:space="0" w:color="auto"/>
        <w:right w:val="none" w:sz="0" w:space="0" w:color="auto"/>
      </w:divBdr>
    </w:div>
    <w:div w:id="1319267989">
      <w:bodyDiv w:val="1"/>
      <w:marLeft w:val="0"/>
      <w:marRight w:val="0"/>
      <w:marTop w:val="0"/>
      <w:marBottom w:val="0"/>
      <w:divBdr>
        <w:top w:val="none" w:sz="0" w:space="0" w:color="auto"/>
        <w:left w:val="none" w:sz="0" w:space="0" w:color="auto"/>
        <w:bottom w:val="none" w:sz="0" w:space="0" w:color="auto"/>
        <w:right w:val="none" w:sz="0" w:space="0" w:color="auto"/>
      </w:divBdr>
    </w:div>
    <w:div w:id="1559392674">
      <w:bodyDiv w:val="1"/>
      <w:marLeft w:val="0"/>
      <w:marRight w:val="0"/>
      <w:marTop w:val="0"/>
      <w:marBottom w:val="0"/>
      <w:divBdr>
        <w:top w:val="none" w:sz="0" w:space="0" w:color="auto"/>
        <w:left w:val="none" w:sz="0" w:space="0" w:color="auto"/>
        <w:bottom w:val="none" w:sz="0" w:space="0" w:color="auto"/>
        <w:right w:val="none" w:sz="0" w:space="0" w:color="auto"/>
      </w:divBdr>
      <w:divsChild>
        <w:div w:id="2058814497">
          <w:marLeft w:val="0"/>
          <w:marRight w:val="0"/>
          <w:marTop w:val="0"/>
          <w:marBottom w:val="0"/>
          <w:divBdr>
            <w:top w:val="none" w:sz="0" w:space="0" w:color="auto"/>
            <w:left w:val="none" w:sz="0" w:space="0" w:color="auto"/>
            <w:bottom w:val="none" w:sz="0" w:space="0" w:color="auto"/>
            <w:right w:val="none" w:sz="0" w:space="0" w:color="auto"/>
          </w:divBdr>
          <w:divsChild>
            <w:div w:id="58441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255914">
      <w:bodyDiv w:val="1"/>
      <w:marLeft w:val="0"/>
      <w:marRight w:val="0"/>
      <w:marTop w:val="0"/>
      <w:marBottom w:val="0"/>
      <w:divBdr>
        <w:top w:val="none" w:sz="0" w:space="0" w:color="auto"/>
        <w:left w:val="none" w:sz="0" w:space="0" w:color="auto"/>
        <w:bottom w:val="none" w:sz="0" w:space="0" w:color="auto"/>
        <w:right w:val="none" w:sz="0" w:space="0" w:color="auto"/>
      </w:divBdr>
      <w:divsChild>
        <w:div w:id="809518938">
          <w:marLeft w:val="0"/>
          <w:marRight w:val="0"/>
          <w:marTop w:val="0"/>
          <w:marBottom w:val="180"/>
          <w:divBdr>
            <w:top w:val="none" w:sz="0" w:space="0" w:color="auto"/>
            <w:left w:val="none" w:sz="0" w:space="0" w:color="auto"/>
            <w:bottom w:val="none" w:sz="0" w:space="0" w:color="auto"/>
            <w:right w:val="none" w:sz="0" w:space="0" w:color="auto"/>
          </w:divBdr>
        </w:div>
        <w:div w:id="1801342937">
          <w:marLeft w:val="0"/>
          <w:marRight w:val="0"/>
          <w:marTop w:val="0"/>
          <w:marBottom w:val="180"/>
          <w:divBdr>
            <w:top w:val="none" w:sz="0" w:space="0" w:color="auto"/>
            <w:left w:val="none" w:sz="0" w:space="0" w:color="auto"/>
            <w:bottom w:val="none" w:sz="0" w:space="0" w:color="auto"/>
            <w:right w:val="none" w:sz="0" w:space="0" w:color="auto"/>
          </w:divBdr>
        </w:div>
      </w:divsChild>
    </w:div>
    <w:div w:id="1823351004">
      <w:bodyDiv w:val="1"/>
      <w:marLeft w:val="0"/>
      <w:marRight w:val="0"/>
      <w:marTop w:val="0"/>
      <w:marBottom w:val="0"/>
      <w:divBdr>
        <w:top w:val="none" w:sz="0" w:space="0" w:color="auto"/>
        <w:left w:val="none" w:sz="0" w:space="0" w:color="auto"/>
        <w:bottom w:val="none" w:sz="0" w:space="0" w:color="auto"/>
        <w:right w:val="none" w:sz="0" w:space="0" w:color="auto"/>
      </w:divBdr>
    </w:div>
    <w:div w:id="1921402655">
      <w:bodyDiv w:val="1"/>
      <w:marLeft w:val="0"/>
      <w:marRight w:val="0"/>
      <w:marTop w:val="0"/>
      <w:marBottom w:val="0"/>
      <w:divBdr>
        <w:top w:val="none" w:sz="0" w:space="0" w:color="auto"/>
        <w:left w:val="none" w:sz="0" w:space="0" w:color="auto"/>
        <w:bottom w:val="none" w:sz="0" w:space="0" w:color="auto"/>
        <w:right w:val="none" w:sz="0" w:space="0" w:color="auto"/>
      </w:divBdr>
    </w:div>
    <w:div w:id="2080519755">
      <w:bodyDiv w:val="1"/>
      <w:marLeft w:val="0"/>
      <w:marRight w:val="0"/>
      <w:marTop w:val="0"/>
      <w:marBottom w:val="0"/>
      <w:divBdr>
        <w:top w:val="none" w:sz="0" w:space="0" w:color="auto"/>
        <w:left w:val="none" w:sz="0" w:space="0" w:color="auto"/>
        <w:bottom w:val="none" w:sz="0" w:space="0" w:color="auto"/>
        <w:right w:val="none" w:sz="0" w:space="0" w:color="auto"/>
      </w:divBdr>
      <w:divsChild>
        <w:div w:id="1899051677">
          <w:marLeft w:val="547"/>
          <w:marRight w:val="0"/>
          <w:marTop w:val="360"/>
          <w:marBottom w:val="0"/>
          <w:divBdr>
            <w:top w:val="none" w:sz="0" w:space="0" w:color="auto"/>
            <w:left w:val="none" w:sz="0" w:space="0" w:color="auto"/>
            <w:bottom w:val="none" w:sz="0" w:space="0" w:color="auto"/>
            <w:right w:val="none" w:sz="0" w:space="0" w:color="auto"/>
          </w:divBdr>
        </w:div>
        <w:div w:id="430777877">
          <w:marLeft w:val="547"/>
          <w:marRight w:val="0"/>
          <w:marTop w:val="360"/>
          <w:marBottom w:val="0"/>
          <w:divBdr>
            <w:top w:val="none" w:sz="0" w:space="0" w:color="auto"/>
            <w:left w:val="none" w:sz="0" w:space="0" w:color="auto"/>
            <w:bottom w:val="none" w:sz="0" w:space="0" w:color="auto"/>
            <w:right w:val="none" w:sz="0" w:space="0" w:color="auto"/>
          </w:divBdr>
        </w:div>
        <w:div w:id="1216433470">
          <w:marLeft w:val="547"/>
          <w:marRight w:val="0"/>
          <w:marTop w:val="360"/>
          <w:marBottom w:val="0"/>
          <w:divBdr>
            <w:top w:val="none" w:sz="0" w:space="0" w:color="auto"/>
            <w:left w:val="none" w:sz="0" w:space="0" w:color="auto"/>
            <w:bottom w:val="none" w:sz="0" w:space="0" w:color="auto"/>
            <w:right w:val="none" w:sz="0" w:space="0" w:color="auto"/>
          </w:divBdr>
        </w:div>
        <w:div w:id="1402362596">
          <w:marLeft w:val="547"/>
          <w:marRight w:val="0"/>
          <w:marTop w:val="360"/>
          <w:marBottom w:val="0"/>
          <w:divBdr>
            <w:top w:val="none" w:sz="0" w:space="0" w:color="auto"/>
            <w:left w:val="none" w:sz="0" w:space="0" w:color="auto"/>
            <w:bottom w:val="none" w:sz="0" w:space="0" w:color="auto"/>
            <w:right w:val="none" w:sz="0" w:space="0" w:color="auto"/>
          </w:divBdr>
        </w:div>
        <w:div w:id="1867063792">
          <w:marLeft w:val="547"/>
          <w:marRight w:val="0"/>
          <w:marTop w:val="360"/>
          <w:marBottom w:val="0"/>
          <w:divBdr>
            <w:top w:val="none" w:sz="0" w:space="0" w:color="auto"/>
            <w:left w:val="none" w:sz="0" w:space="0" w:color="auto"/>
            <w:bottom w:val="none" w:sz="0" w:space="0" w:color="auto"/>
            <w:right w:val="none" w:sz="0" w:space="0" w:color="auto"/>
          </w:divBdr>
        </w:div>
        <w:div w:id="2073387788">
          <w:marLeft w:val="547"/>
          <w:marRight w:val="0"/>
          <w:marTop w:val="3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ortal.etsi.org/People/CommiteeSupportStaff.aspx" TargetMode="External"/><Relationship Id="rId18" Type="http://schemas.openxmlformats.org/officeDocument/2006/relationships/hyperlink" Target="https://www.c-roads.eu/platform/about/news/News/entry/show/release-20-of-c-roads-harmonised-c-its-specifications.html"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3.svg"/><Relationship Id="rId34" Type="http://schemas.openxmlformats.org/officeDocument/2006/relationships/image" Target="media/image16.emf"/><Relationship Id="rId42" Type="http://schemas.openxmlformats.org/officeDocument/2006/relationships/image" Target="media/image24.png"/><Relationship Id="rId47" Type="http://schemas.openxmlformats.org/officeDocument/2006/relationships/image" Target="media/image29.emf"/><Relationship Id="rId50" Type="http://schemas.openxmlformats.org/officeDocument/2006/relationships/image" Target="media/image32.svg"/><Relationship Id="rId55" Type="http://schemas.openxmlformats.org/officeDocument/2006/relationships/image" Target="media/image37.png"/><Relationship Id="rId63" Type="http://schemas.openxmlformats.org/officeDocument/2006/relationships/image" Target="media/image45.svg"/><Relationship Id="rId68" Type="http://schemas.openxmlformats.org/officeDocument/2006/relationships/image" Target="media/image50.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53.emf"/><Relationship Id="rId2" Type="http://schemas.openxmlformats.org/officeDocument/2006/relationships/numbering" Target="numbering.xml"/><Relationship Id="rId16" Type="http://schemas.openxmlformats.org/officeDocument/2006/relationships/hyperlink" Target="https://portal.etsi.org/Services/editHelp!/Howtostart/ETSIDraftingRules.aspx" TargetMode="External"/><Relationship Id="rId29" Type="http://schemas.openxmlformats.org/officeDocument/2006/relationships/image" Target="media/image11.png"/><Relationship Id="rId11" Type="http://schemas.openxmlformats.org/officeDocument/2006/relationships/hyperlink" Target="http://www.etsi.org/deliver" TargetMode="Externa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svg"/><Relationship Id="rId66" Type="http://schemas.openxmlformats.org/officeDocument/2006/relationships/image" Target="media/image48.emf"/><Relationship Id="rId74" Type="http://schemas.openxmlformats.org/officeDocument/2006/relationships/image" Target="media/image56.emf"/><Relationship Id="rId5" Type="http://schemas.openxmlformats.org/officeDocument/2006/relationships/webSettings" Target="webSettings.xml"/><Relationship Id="rId15" Type="http://schemas.openxmlformats.org/officeDocument/2006/relationships/hyperlink" Target="https://ipr.etsi.org"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image" Target="media/image43.emf"/><Relationship Id="rId10" Type="http://schemas.openxmlformats.org/officeDocument/2006/relationships/hyperlink" Target="https://www.etsi.org/standards-search" TargetMode="External"/><Relationship Id="rId19" Type="http://schemas.openxmlformats.org/officeDocument/2006/relationships/hyperlink" Target="https://doi.org/10.3390/s22239330" TargetMode="External"/><Relationship Id="rId31" Type="http://schemas.openxmlformats.org/officeDocument/2006/relationships/image" Target="media/image13.png"/><Relationship Id="rId44" Type="http://schemas.openxmlformats.org/officeDocument/2006/relationships/image" Target="media/image26.emf"/><Relationship Id="rId52" Type="http://schemas.openxmlformats.org/officeDocument/2006/relationships/image" Target="media/image34.svg"/><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emf"/><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etsi.org/standards/coordinated-vulnerability-disclosure"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image" Target="media/image38.svg"/><Relationship Id="rId64" Type="http://schemas.openxmlformats.org/officeDocument/2006/relationships/image" Target="media/image46.emf"/><Relationship Id="rId69" Type="http://schemas.openxmlformats.org/officeDocument/2006/relationships/image" Target="media/image51.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3.png"/><Relationship Id="rId72" Type="http://schemas.openxmlformats.org/officeDocument/2006/relationships/image" Target="media/image54.emf"/><Relationship Id="rId3" Type="http://schemas.openxmlformats.org/officeDocument/2006/relationships/styles" Target="styles.xml"/><Relationship Id="rId12" Type="http://schemas.openxmlformats.org/officeDocument/2006/relationships/hyperlink" Target="https://portal.etsi.org/TB/ETSIDeliverableStatus.aspx" TargetMode="External"/><Relationship Id="rId17" Type="http://schemas.openxmlformats.org/officeDocument/2006/relationships/hyperlink" Target="https://www.car-2-car.org/documents/basic-system-profile"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2.png"/><Relationship Id="rId41" Type="http://schemas.openxmlformats.org/officeDocument/2006/relationships/image" Target="media/image23.png"/><Relationship Id="rId54" Type="http://schemas.openxmlformats.org/officeDocument/2006/relationships/image" Target="media/image36.sv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E1A3B0-A644-4043-9CD0-B0FD25266F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3</Pages>
  <Words>32086</Words>
  <Characters>182893</Characters>
  <Application>Microsoft Office Word</Application>
  <DocSecurity>0</DocSecurity>
  <Lines>1524</Lines>
  <Paragraphs>429</Paragraphs>
  <ScaleCrop>false</ScaleCrop>
  <HeadingPairs>
    <vt:vector size="8" baseType="variant">
      <vt:variant>
        <vt:lpstr>Title</vt:lpstr>
      </vt:variant>
      <vt:variant>
        <vt:i4>1</vt:i4>
      </vt:variant>
      <vt:variant>
        <vt:lpstr>Título</vt:lpstr>
      </vt:variant>
      <vt:variant>
        <vt:i4>1</vt:i4>
      </vt:variant>
      <vt:variant>
        <vt:lpstr>Titolo</vt:lpstr>
      </vt:variant>
      <vt:variant>
        <vt:i4>1</vt:i4>
      </vt:variant>
      <vt:variant>
        <vt:lpstr>Titel</vt:lpstr>
      </vt:variant>
      <vt:variant>
        <vt:i4>1</vt:i4>
      </vt:variant>
    </vt:vector>
  </HeadingPairs>
  <TitlesOfParts>
    <vt:vector size="4" baseType="lpstr">
      <vt:lpstr>SKELETON</vt:lpstr>
      <vt:lpstr>SKELETON</vt:lpstr>
      <vt:lpstr>SKELETON</vt:lpstr>
      <vt:lpstr>SKELETON</vt:lpstr>
    </vt:vector>
  </TitlesOfParts>
  <Company>ETS Sophia Antipolis</Company>
  <LinksUpToDate>false</LinksUpToDate>
  <CharactersWithSpaces>214550</CharactersWithSpaces>
  <SharedDoc>false</SharedDoc>
  <HLinks>
    <vt:vector size="186" baseType="variant">
      <vt:variant>
        <vt:i4>4128773</vt:i4>
      </vt:variant>
      <vt:variant>
        <vt:i4>195</vt:i4>
      </vt:variant>
      <vt:variant>
        <vt:i4>0</vt:i4>
      </vt:variant>
      <vt:variant>
        <vt:i4>5</vt:i4>
      </vt:variant>
      <vt:variant>
        <vt:lpwstr>mailto:edithelp@etsi.org</vt:lpwstr>
      </vt:variant>
      <vt:variant>
        <vt:lpwstr/>
      </vt:variant>
      <vt:variant>
        <vt:i4>4128773</vt:i4>
      </vt:variant>
      <vt:variant>
        <vt:i4>192</vt:i4>
      </vt:variant>
      <vt:variant>
        <vt:i4>0</vt:i4>
      </vt:variant>
      <vt:variant>
        <vt:i4>5</vt:i4>
      </vt:variant>
      <vt:variant>
        <vt:lpwstr>mailto:edithelp@etsi.org</vt:lpwstr>
      </vt:variant>
      <vt:variant>
        <vt:lpwstr/>
      </vt:variant>
      <vt:variant>
        <vt:i4>7995444</vt:i4>
      </vt:variant>
      <vt:variant>
        <vt:i4>189</vt:i4>
      </vt:variant>
      <vt:variant>
        <vt:i4>0</vt:i4>
      </vt:variant>
      <vt:variant>
        <vt:i4>5</vt:i4>
      </vt:variant>
      <vt:variant>
        <vt:lpwstr>http://portal.etsi.org/Help/editHelp!/Howtostart/ETSIDraftingRules.aspx</vt:lpwstr>
      </vt:variant>
      <vt:variant>
        <vt:lpwstr/>
      </vt:variant>
      <vt:variant>
        <vt:i4>7995444</vt:i4>
      </vt:variant>
      <vt:variant>
        <vt:i4>186</vt:i4>
      </vt:variant>
      <vt:variant>
        <vt:i4>0</vt:i4>
      </vt:variant>
      <vt:variant>
        <vt:i4>5</vt:i4>
      </vt:variant>
      <vt:variant>
        <vt:lpwstr>http://portal.etsi.org/Help/editHelp!/Howtostart/ETSIDraftingRules.aspx</vt:lpwstr>
      </vt:variant>
      <vt:variant>
        <vt:lpwstr/>
      </vt:variant>
      <vt:variant>
        <vt:i4>7995444</vt:i4>
      </vt:variant>
      <vt:variant>
        <vt:i4>183</vt:i4>
      </vt:variant>
      <vt:variant>
        <vt:i4>0</vt:i4>
      </vt:variant>
      <vt:variant>
        <vt:i4>5</vt:i4>
      </vt:variant>
      <vt:variant>
        <vt:lpwstr>http://portal.etsi.org/Help/editHelp!/Howtostart/ETSIDraftingRules.aspx</vt:lpwstr>
      </vt:variant>
      <vt:variant>
        <vt:lpwstr/>
      </vt:variant>
      <vt:variant>
        <vt:i4>7209084</vt:i4>
      </vt:variant>
      <vt:variant>
        <vt:i4>179</vt:i4>
      </vt:variant>
      <vt:variant>
        <vt:i4>0</vt:i4>
      </vt:variant>
      <vt:variant>
        <vt:i4>5</vt:i4>
      </vt:variant>
      <vt:variant>
        <vt:lpwstr>http://portal.etsi.org/Help/editHelp!/Standardsdevelopment/Drafting/Stylestoolbar.aspx</vt:lpwstr>
      </vt:variant>
      <vt:variant>
        <vt:lpwstr/>
      </vt:variant>
      <vt:variant>
        <vt:i4>5177414</vt:i4>
      </vt:variant>
      <vt:variant>
        <vt:i4>177</vt:i4>
      </vt:variant>
      <vt:variant>
        <vt:i4>0</vt:i4>
      </vt:variant>
      <vt:variant>
        <vt:i4>5</vt:i4>
      </vt:variant>
      <vt:variant>
        <vt:lpwstr>http://portal.etsi.org/edithelp/home.asp</vt:lpwstr>
      </vt:variant>
      <vt:variant>
        <vt:lpwstr/>
      </vt:variant>
      <vt:variant>
        <vt:i4>7995444</vt:i4>
      </vt:variant>
      <vt:variant>
        <vt:i4>174</vt:i4>
      </vt:variant>
      <vt:variant>
        <vt:i4>0</vt:i4>
      </vt:variant>
      <vt:variant>
        <vt:i4>5</vt:i4>
      </vt:variant>
      <vt:variant>
        <vt:lpwstr>http://portal.etsi.org/Help/editHelp!/Howtostart/ETSIDraftingRules.aspx</vt:lpwstr>
      </vt:variant>
      <vt:variant>
        <vt:lpwstr/>
      </vt:variant>
      <vt:variant>
        <vt:i4>7995444</vt:i4>
      </vt:variant>
      <vt:variant>
        <vt:i4>171</vt:i4>
      </vt:variant>
      <vt:variant>
        <vt:i4>0</vt:i4>
      </vt:variant>
      <vt:variant>
        <vt:i4>5</vt:i4>
      </vt:variant>
      <vt:variant>
        <vt:lpwstr>http://portal.etsi.org/Help/editHelp!/Howtostart/ETSIDraftingRules.aspx</vt:lpwstr>
      </vt:variant>
      <vt:variant>
        <vt:lpwstr/>
      </vt:variant>
      <vt:variant>
        <vt:i4>7995444</vt:i4>
      </vt:variant>
      <vt:variant>
        <vt:i4>168</vt:i4>
      </vt:variant>
      <vt:variant>
        <vt:i4>0</vt:i4>
      </vt:variant>
      <vt:variant>
        <vt:i4>5</vt:i4>
      </vt:variant>
      <vt:variant>
        <vt:lpwstr>http://portal.etsi.org/Help/editHelp!/Howtostart/ETSIDraftingRules.aspx</vt:lpwstr>
      </vt:variant>
      <vt:variant>
        <vt:lpwstr/>
      </vt:variant>
      <vt:variant>
        <vt:i4>7995444</vt:i4>
      </vt:variant>
      <vt:variant>
        <vt:i4>165</vt:i4>
      </vt:variant>
      <vt:variant>
        <vt:i4>0</vt:i4>
      </vt:variant>
      <vt:variant>
        <vt:i4>5</vt:i4>
      </vt:variant>
      <vt:variant>
        <vt:lpwstr>http://portal.etsi.org/Help/editHelp!/Howtostart/ETSIDraftingRules.aspx</vt:lpwstr>
      </vt:variant>
      <vt:variant>
        <vt:lpwstr/>
      </vt:variant>
      <vt:variant>
        <vt:i4>7995444</vt:i4>
      </vt:variant>
      <vt:variant>
        <vt:i4>162</vt:i4>
      </vt:variant>
      <vt:variant>
        <vt:i4>0</vt:i4>
      </vt:variant>
      <vt:variant>
        <vt:i4>5</vt:i4>
      </vt:variant>
      <vt:variant>
        <vt:lpwstr>http://portal.etsi.org/Help/editHelp!/Howtostart/ETSIDraftingRules.aspx</vt:lpwstr>
      </vt:variant>
      <vt:variant>
        <vt:lpwstr/>
      </vt:variant>
      <vt:variant>
        <vt:i4>7995444</vt:i4>
      </vt:variant>
      <vt:variant>
        <vt:i4>159</vt:i4>
      </vt:variant>
      <vt:variant>
        <vt:i4>0</vt:i4>
      </vt:variant>
      <vt:variant>
        <vt:i4>5</vt:i4>
      </vt:variant>
      <vt:variant>
        <vt:lpwstr>http://portal.etsi.org/Help/editHelp!/Howtostart/ETSIDraftingRules.aspx</vt:lpwstr>
      </vt:variant>
      <vt:variant>
        <vt:lpwstr/>
      </vt:variant>
      <vt:variant>
        <vt:i4>7995444</vt:i4>
      </vt:variant>
      <vt:variant>
        <vt:i4>156</vt:i4>
      </vt:variant>
      <vt:variant>
        <vt:i4>0</vt:i4>
      </vt:variant>
      <vt:variant>
        <vt:i4>5</vt:i4>
      </vt:variant>
      <vt:variant>
        <vt:lpwstr>http://portal.etsi.org/Help/editHelp!/Howtostart/ETSIDraftingRules.aspx</vt:lpwstr>
      </vt:variant>
      <vt:variant>
        <vt:lpwstr/>
      </vt:variant>
      <vt:variant>
        <vt:i4>7995444</vt:i4>
      </vt:variant>
      <vt:variant>
        <vt:i4>153</vt:i4>
      </vt:variant>
      <vt:variant>
        <vt:i4>0</vt:i4>
      </vt:variant>
      <vt:variant>
        <vt:i4>5</vt:i4>
      </vt:variant>
      <vt:variant>
        <vt:lpwstr>http://portal.etsi.org/Help/editHelp!/Howtostart/ETSIDraftingRules.aspx</vt:lpwstr>
      </vt:variant>
      <vt:variant>
        <vt:lpwstr/>
      </vt:variant>
      <vt:variant>
        <vt:i4>7995444</vt:i4>
      </vt:variant>
      <vt:variant>
        <vt:i4>150</vt:i4>
      </vt:variant>
      <vt:variant>
        <vt:i4>0</vt:i4>
      </vt:variant>
      <vt:variant>
        <vt:i4>5</vt:i4>
      </vt:variant>
      <vt:variant>
        <vt:lpwstr>http://portal.etsi.org/Help/editHelp!/Howtostart/ETSIDraftingRules.aspx</vt:lpwstr>
      </vt:variant>
      <vt:variant>
        <vt:lpwstr/>
      </vt:variant>
      <vt:variant>
        <vt:i4>7995444</vt:i4>
      </vt:variant>
      <vt:variant>
        <vt:i4>147</vt:i4>
      </vt:variant>
      <vt:variant>
        <vt:i4>0</vt:i4>
      </vt:variant>
      <vt:variant>
        <vt:i4>5</vt:i4>
      </vt:variant>
      <vt:variant>
        <vt:lpwstr>http://portal.etsi.org/Help/editHelp!/Howtostart/ETSIDraftingRules.aspx</vt:lpwstr>
      </vt:variant>
      <vt:variant>
        <vt:lpwstr/>
      </vt:variant>
      <vt:variant>
        <vt:i4>786457</vt:i4>
      </vt:variant>
      <vt:variant>
        <vt:i4>144</vt:i4>
      </vt:variant>
      <vt:variant>
        <vt:i4>0</vt:i4>
      </vt:variant>
      <vt:variant>
        <vt:i4>5</vt:i4>
      </vt:variant>
      <vt:variant>
        <vt:lpwstr>http://webapp.etsi.org/Teddi/</vt:lpwstr>
      </vt:variant>
      <vt:variant>
        <vt:lpwstr/>
      </vt:variant>
      <vt:variant>
        <vt:i4>7995444</vt:i4>
      </vt:variant>
      <vt:variant>
        <vt:i4>141</vt:i4>
      </vt:variant>
      <vt:variant>
        <vt:i4>0</vt:i4>
      </vt:variant>
      <vt:variant>
        <vt:i4>5</vt:i4>
      </vt:variant>
      <vt:variant>
        <vt:lpwstr>http://portal.etsi.org/Help/editHelp!/Howtostart/ETSIDraftingRules.aspx</vt:lpwstr>
      </vt:variant>
      <vt:variant>
        <vt:lpwstr/>
      </vt:variant>
      <vt:variant>
        <vt:i4>1376287</vt:i4>
      </vt:variant>
      <vt:variant>
        <vt:i4>138</vt:i4>
      </vt:variant>
      <vt:variant>
        <vt:i4>0</vt:i4>
      </vt:variant>
      <vt:variant>
        <vt:i4>5</vt:i4>
      </vt:variant>
      <vt:variant>
        <vt:lpwstr>http://docbox.etsi.org/Reference</vt:lpwstr>
      </vt:variant>
      <vt:variant>
        <vt:lpwstr/>
      </vt:variant>
      <vt:variant>
        <vt:i4>7995444</vt:i4>
      </vt:variant>
      <vt:variant>
        <vt:i4>135</vt:i4>
      </vt:variant>
      <vt:variant>
        <vt:i4>0</vt:i4>
      </vt:variant>
      <vt:variant>
        <vt:i4>5</vt:i4>
      </vt:variant>
      <vt:variant>
        <vt:lpwstr>http://portal.etsi.org/Help/editHelp!/Howtostart/ETSIDraftingRules.aspx</vt:lpwstr>
      </vt:variant>
      <vt:variant>
        <vt:lpwstr/>
      </vt:variant>
      <vt:variant>
        <vt:i4>7995444</vt:i4>
      </vt:variant>
      <vt:variant>
        <vt:i4>132</vt:i4>
      </vt:variant>
      <vt:variant>
        <vt:i4>0</vt:i4>
      </vt:variant>
      <vt:variant>
        <vt:i4>5</vt:i4>
      </vt:variant>
      <vt:variant>
        <vt:lpwstr>http://portal.etsi.org/Help/editHelp!/Howtostart/ETSIDraftingRules.aspx</vt:lpwstr>
      </vt:variant>
      <vt:variant>
        <vt:lpwstr/>
      </vt:variant>
      <vt:variant>
        <vt:i4>2687002</vt:i4>
      </vt:variant>
      <vt:variant>
        <vt:i4>129</vt:i4>
      </vt:variant>
      <vt:variant>
        <vt:i4>0</vt:i4>
      </vt:variant>
      <vt:variant>
        <vt:i4>5</vt:i4>
      </vt:variant>
      <vt:variant>
        <vt:lpwstr>http://portal.etsi.org/edithelp/Files/other/EDRs_navigator.chm</vt:lpwstr>
      </vt:variant>
      <vt:variant>
        <vt:lpwstr/>
      </vt:variant>
      <vt:variant>
        <vt:i4>4128872</vt:i4>
      </vt:variant>
      <vt:variant>
        <vt:i4>126</vt:i4>
      </vt:variant>
      <vt:variant>
        <vt:i4>0</vt:i4>
      </vt:variant>
      <vt:variant>
        <vt:i4>5</vt:i4>
      </vt:variant>
      <vt:variant>
        <vt:lpwstr>http://portal.etsi.org/edithelp/HowToStart/home.htm?page=DraftingRules</vt:lpwstr>
      </vt:variant>
      <vt:variant>
        <vt:lpwstr/>
      </vt:variant>
      <vt:variant>
        <vt:i4>6553714</vt:i4>
      </vt:variant>
      <vt:variant>
        <vt:i4>123</vt:i4>
      </vt:variant>
      <vt:variant>
        <vt:i4>0</vt:i4>
      </vt:variant>
      <vt:variant>
        <vt:i4>5</vt:i4>
      </vt:variant>
      <vt:variant>
        <vt:lpwstr>http://www.etsi.org/deliver/etsi_en/302200_302299/3022170201/01.03.01_60/en_3022170201v010301p.pdf</vt:lpwstr>
      </vt:variant>
      <vt:variant>
        <vt:lpwstr/>
      </vt:variant>
      <vt:variant>
        <vt:i4>7995444</vt:i4>
      </vt:variant>
      <vt:variant>
        <vt:i4>120</vt:i4>
      </vt:variant>
      <vt:variant>
        <vt:i4>0</vt:i4>
      </vt:variant>
      <vt:variant>
        <vt:i4>5</vt:i4>
      </vt:variant>
      <vt:variant>
        <vt:lpwstr>http://portal.etsi.org/Help/editHelp!/Howtostart/ETSIDraftingRules.aspx</vt:lpwstr>
      </vt:variant>
      <vt:variant>
        <vt:lpwstr/>
      </vt:variant>
      <vt:variant>
        <vt:i4>6619251</vt:i4>
      </vt:variant>
      <vt:variant>
        <vt:i4>117</vt:i4>
      </vt:variant>
      <vt:variant>
        <vt:i4>0</vt:i4>
      </vt:variant>
      <vt:variant>
        <vt:i4>5</vt:i4>
      </vt:variant>
      <vt:variant>
        <vt:lpwstr>http://www.etsi.org/deliver/etsi_ts/101300_101399/1013760322/03.02.01_60/ts_1013760322v030201p.pdf</vt:lpwstr>
      </vt:variant>
      <vt:variant>
        <vt:lpwstr/>
      </vt:variant>
      <vt:variant>
        <vt:i4>6291574</vt:i4>
      </vt:variant>
      <vt:variant>
        <vt:i4>114</vt:i4>
      </vt:variant>
      <vt:variant>
        <vt:i4>0</vt:i4>
      </vt:variant>
      <vt:variant>
        <vt:i4>5</vt:i4>
      </vt:variant>
      <vt:variant>
        <vt:lpwstr>http://www.etsi.org/deliver/etsi_en/300300_300399/3003920305/01.04.01_60/en_3003920305v010401p.pdf</vt:lpwstr>
      </vt:variant>
      <vt:variant>
        <vt:lpwstr/>
      </vt:variant>
      <vt:variant>
        <vt:i4>6160453</vt:i4>
      </vt:variant>
      <vt:variant>
        <vt:i4>9</vt:i4>
      </vt:variant>
      <vt:variant>
        <vt:i4>0</vt:i4>
      </vt:variant>
      <vt:variant>
        <vt:i4>5</vt:i4>
      </vt:variant>
      <vt:variant>
        <vt:lpwstr>https://portal.etsi.org/People/CommiteeSupportStaff.aspx</vt:lpwstr>
      </vt:variant>
      <vt:variant>
        <vt:lpwstr/>
      </vt:variant>
      <vt:variant>
        <vt:i4>6357027</vt:i4>
      </vt:variant>
      <vt:variant>
        <vt:i4>6</vt:i4>
      </vt:variant>
      <vt:variant>
        <vt:i4>0</vt:i4>
      </vt:variant>
      <vt:variant>
        <vt:i4>5</vt:i4>
      </vt:variant>
      <vt:variant>
        <vt:lpwstr>http://portal.etsi.org/tb/status/status.asp</vt:lpwstr>
      </vt:variant>
      <vt:variant>
        <vt:lpwstr/>
      </vt:variant>
      <vt:variant>
        <vt:i4>196675</vt:i4>
      </vt:variant>
      <vt:variant>
        <vt:i4>3</vt:i4>
      </vt:variant>
      <vt:variant>
        <vt:i4>0</vt:i4>
      </vt:variant>
      <vt:variant>
        <vt:i4>5</vt:i4>
      </vt:variant>
      <vt:variant>
        <vt:lpwstr>http://www.etsi.org/standards-search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cp:lastModifiedBy>Andrea Lorelli</cp:lastModifiedBy>
  <cp:revision>4</cp:revision>
  <cp:lastPrinted>2010-05-07T16:32:00Z</cp:lastPrinted>
  <dcterms:created xsi:type="dcterms:W3CDTF">2025-05-13T07:57:00Z</dcterms:created>
  <dcterms:modified xsi:type="dcterms:W3CDTF">2025-05-13T08:01:00Z</dcterms:modified>
</cp:coreProperties>
</file>